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22362">
      <w:pPr>
        <w:spacing w:before="120" w:after="120" w:line="240" w:lineRule="exact"/>
        <w:jc w:val="center"/>
        <w:rPr>
          <w:b/>
          <w:bCs/>
        </w:rPr>
      </w:pPr>
      <w:r>
        <w:rPr>
          <w:b/>
          <w:bCs/>
        </w:rPr>
        <w:t>Phụ lụ</w:t>
      </w:r>
      <w:bookmarkStart w:id="4" w:name="_GoBack"/>
      <w:bookmarkEnd w:id="4"/>
      <w:r>
        <w:rPr>
          <w:b/>
          <w:bCs/>
        </w:rPr>
        <w:t>c: Danh mục, số lượng, yêu cầu về tính năng, yêu cầu kỹ thuật</w:t>
      </w:r>
    </w:p>
    <w:p w14:paraId="21D427DE">
      <w:pPr>
        <w:spacing w:before="120" w:after="120" w:line="240" w:lineRule="exact"/>
        <w:jc w:val="center"/>
        <w:rPr>
          <w:bCs/>
          <w:lang w:val="en-US"/>
        </w:rPr>
      </w:pPr>
      <w:r>
        <w:rPr>
          <w:bCs/>
        </w:rPr>
        <w:t xml:space="preserve"> Gói thầu: </w:t>
      </w:r>
      <w:r>
        <w:rPr>
          <w:color w:val="000000"/>
          <w:spacing w:val="3"/>
          <w:shd w:val="clear" w:color="auto" w:fill="FFFFFF"/>
          <w:lang w:val="en-US"/>
        </w:rPr>
        <w:t>Mua thuốc diệt côn trùng cho khoa Kiểm soát nhiễm khuẩn năm 2026-2028</w:t>
      </w:r>
    </w:p>
    <w:p w14:paraId="1B038923">
      <w:pPr>
        <w:spacing w:after="60" w:line="240" w:lineRule="auto"/>
        <w:jc w:val="center"/>
        <w:rPr>
          <w:i/>
          <w:color w:val="000000"/>
          <w:szCs w:val="28"/>
          <w:lang w:val="en-US"/>
        </w:rPr>
      </w:pPr>
      <w:r>
        <w:rPr>
          <w:i/>
          <w:iCs/>
          <w:lang w:val="fr-FR"/>
        </w:rPr>
        <w:t xml:space="preserve"> </w:t>
      </w:r>
      <w:r>
        <w:rPr>
          <w:i/>
          <w:color w:val="000000"/>
          <w:szCs w:val="28"/>
          <w:lang w:val="en-US"/>
        </w:rPr>
        <w:t>(Đính kèm yêu cầu báo giá số 8035/YCBG-BVĐKBN2 ngày 19/8/2026 của Bệnh viện đa khoa Bắc Ninh số 2)</w:t>
      </w:r>
    </w:p>
    <w:p w14:paraId="71B0C4D3">
      <w:pPr>
        <w:spacing w:after="60" w:line="240" w:lineRule="auto"/>
        <w:jc w:val="center"/>
        <w:rPr>
          <w:i/>
          <w:color w:val="000000"/>
          <w:szCs w:val="28"/>
          <w:lang w:val="en-US"/>
        </w:rPr>
      </w:pPr>
    </w:p>
    <w:tbl>
      <w:tblPr>
        <w:tblStyle w:val="4"/>
        <w:tblW w:w="0" w:type="auto"/>
        <w:tblInd w:w="562" w:type="dxa"/>
        <w:tblLayout w:type="autofit"/>
        <w:tblCellMar>
          <w:top w:w="0" w:type="dxa"/>
          <w:left w:w="108" w:type="dxa"/>
          <w:bottom w:w="0" w:type="dxa"/>
          <w:right w:w="108" w:type="dxa"/>
        </w:tblCellMar>
      </w:tblPr>
      <w:tblGrid>
        <w:gridCol w:w="822"/>
        <w:gridCol w:w="3695"/>
        <w:gridCol w:w="6540"/>
        <w:gridCol w:w="1290"/>
        <w:gridCol w:w="1084"/>
      </w:tblGrid>
      <w:tr w14:paraId="427E335C">
        <w:tblPrEx>
          <w:tblCellMar>
            <w:top w:w="0" w:type="dxa"/>
            <w:left w:w="108" w:type="dxa"/>
            <w:bottom w:w="0" w:type="dxa"/>
            <w:right w:w="108" w:type="dxa"/>
          </w:tblCellMar>
        </w:tblPrEx>
        <w:trPr>
          <w:trHeight w:val="1028" w:hRule="atLeast"/>
        </w:trPr>
        <w:tc>
          <w:tcPr>
            <w:tcW w:w="82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07034E">
            <w:pPr>
              <w:jc w:val="center"/>
              <w:rPr>
                <w:b/>
                <w:bCs/>
                <w:color w:val="000000"/>
                <w:sz w:val="26"/>
                <w:szCs w:val="26"/>
                <w:lang w:eastAsia="vi-VN"/>
              </w:rPr>
            </w:pPr>
            <w:r>
              <w:rPr>
                <w:b/>
                <w:bCs/>
                <w:color w:val="000000"/>
                <w:sz w:val="26"/>
                <w:szCs w:val="26"/>
                <w:lang w:eastAsia="vi-VN"/>
              </w:rPr>
              <w:t>STT</w:t>
            </w:r>
          </w:p>
        </w:tc>
        <w:tc>
          <w:tcPr>
            <w:tcW w:w="3695" w:type="dxa"/>
            <w:tcBorders>
              <w:top w:val="single" w:color="auto" w:sz="4" w:space="0"/>
              <w:left w:val="nil"/>
              <w:bottom w:val="single" w:color="auto" w:sz="4" w:space="0"/>
              <w:right w:val="single" w:color="auto" w:sz="4" w:space="0"/>
            </w:tcBorders>
            <w:shd w:val="clear" w:color="auto" w:fill="auto"/>
            <w:vAlign w:val="center"/>
          </w:tcPr>
          <w:p w14:paraId="051670ED">
            <w:pPr>
              <w:jc w:val="center"/>
              <w:rPr>
                <w:b/>
                <w:bCs/>
                <w:color w:val="000000"/>
                <w:sz w:val="26"/>
                <w:szCs w:val="26"/>
                <w:lang w:eastAsia="vi-VN"/>
              </w:rPr>
            </w:pPr>
            <w:r>
              <w:rPr>
                <w:b/>
                <w:bCs/>
                <w:color w:val="000000"/>
                <w:sz w:val="26"/>
                <w:szCs w:val="26"/>
              </w:rPr>
              <w:t xml:space="preserve">Danh mục </w:t>
            </w:r>
          </w:p>
        </w:tc>
        <w:tc>
          <w:tcPr>
            <w:tcW w:w="6540" w:type="dxa"/>
            <w:tcBorders>
              <w:top w:val="single" w:color="auto" w:sz="4" w:space="0"/>
              <w:left w:val="nil"/>
              <w:bottom w:val="single" w:color="auto" w:sz="4" w:space="0"/>
              <w:right w:val="single" w:color="auto" w:sz="4" w:space="0"/>
            </w:tcBorders>
            <w:shd w:val="clear" w:color="auto" w:fill="auto"/>
            <w:vAlign w:val="center"/>
          </w:tcPr>
          <w:p w14:paraId="48F6E04E">
            <w:pPr>
              <w:jc w:val="center"/>
              <w:rPr>
                <w:b/>
                <w:bCs/>
                <w:color w:val="000000"/>
                <w:sz w:val="26"/>
                <w:szCs w:val="26"/>
                <w:lang w:eastAsia="vi-VN"/>
              </w:rPr>
            </w:pPr>
            <w:r>
              <w:rPr>
                <w:b/>
                <w:bCs/>
                <w:color w:val="000000"/>
                <w:sz w:val="26"/>
                <w:szCs w:val="26"/>
              </w:rPr>
              <w:t>Yêu cầu về tính năng, yêu cầu kỹ thuật</w:t>
            </w:r>
          </w:p>
        </w:tc>
        <w:tc>
          <w:tcPr>
            <w:tcW w:w="1290" w:type="dxa"/>
            <w:tcBorders>
              <w:top w:val="single" w:color="auto" w:sz="4" w:space="0"/>
              <w:left w:val="nil"/>
              <w:bottom w:val="single" w:color="auto" w:sz="4" w:space="0"/>
              <w:right w:val="single" w:color="auto" w:sz="4" w:space="0"/>
            </w:tcBorders>
            <w:vAlign w:val="center"/>
          </w:tcPr>
          <w:p w14:paraId="4207FC1E">
            <w:pPr>
              <w:jc w:val="center"/>
              <w:rPr>
                <w:b/>
                <w:bCs/>
                <w:color w:val="000000"/>
                <w:sz w:val="26"/>
                <w:szCs w:val="26"/>
                <w:lang w:eastAsia="vi-VN"/>
              </w:rPr>
            </w:pPr>
            <w:r>
              <w:rPr>
                <w:b/>
                <w:bCs/>
                <w:color w:val="000000"/>
                <w:sz w:val="26"/>
                <w:szCs w:val="26"/>
                <w:lang w:eastAsia="vi-VN"/>
              </w:rPr>
              <w:t>Đơn vị tính</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475FD514">
            <w:pPr>
              <w:jc w:val="center"/>
              <w:rPr>
                <w:b/>
                <w:bCs/>
                <w:color w:val="000000"/>
                <w:sz w:val="26"/>
                <w:szCs w:val="26"/>
                <w:lang w:eastAsia="vi-VN"/>
              </w:rPr>
            </w:pPr>
            <w:r>
              <w:rPr>
                <w:b/>
                <w:bCs/>
                <w:color w:val="000000"/>
                <w:sz w:val="26"/>
                <w:szCs w:val="26"/>
                <w:lang w:eastAsia="vi-VN"/>
              </w:rPr>
              <w:t>Số lượng</w:t>
            </w:r>
          </w:p>
        </w:tc>
      </w:tr>
      <w:tr w14:paraId="631F8AAF">
        <w:tblPrEx>
          <w:tblCellMar>
            <w:top w:w="0" w:type="dxa"/>
            <w:left w:w="108" w:type="dxa"/>
            <w:bottom w:w="0" w:type="dxa"/>
            <w:right w:w="108" w:type="dxa"/>
          </w:tblCellMar>
        </w:tblPrEx>
        <w:trPr>
          <w:trHeight w:val="274" w:hRule="atLeast"/>
        </w:trPr>
        <w:tc>
          <w:tcPr>
            <w:tcW w:w="82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9B235B">
            <w:pPr>
              <w:jc w:val="center"/>
              <w:rPr>
                <w:bCs/>
                <w:color w:val="000000"/>
                <w:sz w:val="26"/>
                <w:szCs w:val="26"/>
                <w:lang w:val="en-US" w:eastAsia="vi-VN"/>
              </w:rPr>
            </w:pPr>
            <w:r>
              <w:rPr>
                <w:lang w:val="en-US"/>
              </w:rPr>
              <w:t>1</w:t>
            </w:r>
          </w:p>
        </w:tc>
        <w:tc>
          <w:tcPr>
            <w:tcW w:w="3695" w:type="dxa"/>
            <w:tcBorders>
              <w:top w:val="single" w:color="auto" w:sz="4" w:space="0"/>
              <w:left w:val="nil"/>
              <w:bottom w:val="single" w:color="auto" w:sz="4" w:space="0"/>
              <w:right w:val="single" w:color="auto" w:sz="4" w:space="0"/>
            </w:tcBorders>
            <w:shd w:val="clear" w:color="auto" w:fill="auto"/>
            <w:vAlign w:val="center"/>
          </w:tcPr>
          <w:p w14:paraId="29E44C7B">
            <w:pPr>
              <w:spacing w:after="0"/>
              <w:jc w:val="both"/>
              <w:rPr>
                <w:sz w:val="26"/>
                <w:szCs w:val="26"/>
                <w:lang w:val="en-US"/>
              </w:rPr>
            </w:pPr>
            <w:r>
              <w:rPr>
                <w:lang w:val="en-US"/>
              </w:rPr>
              <w:t>Thuốc diệt côn trùng</w:t>
            </w:r>
          </w:p>
        </w:tc>
        <w:tc>
          <w:tcPr>
            <w:tcW w:w="6540" w:type="dxa"/>
            <w:tcBorders>
              <w:top w:val="single" w:color="auto" w:sz="4" w:space="0"/>
              <w:left w:val="nil"/>
              <w:bottom w:val="single" w:color="auto" w:sz="4" w:space="0"/>
              <w:right w:val="single" w:color="auto" w:sz="4" w:space="0"/>
            </w:tcBorders>
            <w:shd w:val="clear" w:color="auto" w:fill="auto"/>
          </w:tcPr>
          <w:p w14:paraId="15A2B7D8">
            <w:pPr>
              <w:spacing w:after="0" w:line="240" w:lineRule="auto"/>
              <w:rPr>
                <w:rStyle w:val="22"/>
                <w:sz w:val="28"/>
                <w:szCs w:val="28"/>
              </w:rPr>
            </w:pPr>
            <w:r>
              <w:rPr>
                <w:rStyle w:val="22"/>
                <w:sz w:val="28"/>
                <w:szCs w:val="28"/>
              </w:rPr>
              <w:t>- Hoạt chất: Permethrin 50% (500g/l) cùng các phụ gia.</w:t>
            </w:r>
          </w:p>
          <w:p w14:paraId="554B8B0C">
            <w:pPr>
              <w:spacing w:after="0" w:line="240" w:lineRule="auto"/>
              <w:rPr>
                <w:rStyle w:val="22"/>
                <w:sz w:val="28"/>
                <w:szCs w:val="28"/>
              </w:rPr>
            </w:pPr>
            <w:r>
              <w:rPr>
                <w:rStyle w:val="22"/>
                <w:sz w:val="28"/>
                <w:szCs w:val="28"/>
              </w:rPr>
              <w:t>- Quy cách: chai 1 lít (1000ml).</w:t>
            </w:r>
          </w:p>
          <w:p w14:paraId="37C181F0">
            <w:pPr>
              <w:spacing w:after="0" w:line="240" w:lineRule="auto"/>
              <w:rPr>
                <w:szCs w:val="28"/>
                <w:lang w:val="en-US"/>
              </w:rPr>
            </w:pPr>
            <w:r>
              <w:rPr>
                <w:rStyle w:val="22"/>
                <w:sz w:val="28"/>
                <w:szCs w:val="28"/>
              </w:rPr>
              <w:t>- Đặc trị: muỗi, kiến, gián, ruồi và bọ chét</w:t>
            </w:r>
          </w:p>
          <w:p w14:paraId="06D3C4FC">
            <w:pPr>
              <w:spacing w:after="0"/>
              <w:rPr>
                <w:color w:val="000000"/>
                <w:sz w:val="26"/>
                <w:szCs w:val="26"/>
                <w:lang w:val="en-US"/>
              </w:rPr>
            </w:pPr>
          </w:p>
        </w:tc>
        <w:tc>
          <w:tcPr>
            <w:tcW w:w="1290" w:type="dxa"/>
            <w:tcBorders>
              <w:top w:val="single" w:color="auto" w:sz="4" w:space="0"/>
              <w:left w:val="nil"/>
              <w:bottom w:val="single" w:color="auto" w:sz="4" w:space="0"/>
              <w:right w:val="single" w:color="auto" w:sz="4" w:space="0"/>
            </w:tcBorders>
            <w:vAlign w:val="center"/>
          </w:tcPr>
          <w:p w14:paraId="0538B8AA">
            <w:pPr>
              <w:jc w:val="center"/>
              <w:rPr>
                <w:bCs/>
                <w:color w:val="000000"/>
                <w:sz w:val="26"/>
                <w:szCs w:val="26"/>
                <w:lang w:val="en-US" w:eastAsia="vi-VN"/>
              </w:rPr>
            </w:pPr>
            <w:r>
              <w:rPr>
                <w:lang w:val="en-US"/>
              </w:rPr>
              <w:t>Lít</w:t>
            </w:r>
          </w:p>
        </w:tc>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6C10FF50">
            <w:pPr>
              <w:jc w:val="center"/>
              <w:rPr>
                <w:bCs/>
                <w:color w:val="000000"/>
                <w:sz w:val="26"/>
                <w:szCs w:val="26"/>
                <w:lang w:val="en-US" w:eastAsia="vi-VN"/>
              </w:rPr>
            </w:pPr>
            <w:r>
              <w:rPr>
                <w:lang w:val="en-US"/>
              </w:rPr>
              <w:t>200</w:t>
            </w:r>
          </w:p>
        </w:tc>
      </w:tr>
    </w:tbl>
    <w:p w14:paraId="5F1E1405">
      <w:pPr>
        <w:spacing w:after="120"/>
        <w:rPr>
          <w:i/>
          <w:iCs/>
        </w:rPr>
      </w:pPr>
    </w:p>
    <w:p w14:paraId="0FEE84E3">
      <w:pPr>
        <w:spacing w:after="60" w:line="240" w:lineRule="auto"/>
        <w:jc w:val="center"/>
        <w:rPr>
          <w:rFonts w:cs="Times New Roman"/>
          <w:b/>
          <w:color w:val="000000" w:themeColor="text1"/>
          <w:szCs w:val="28"/>
          <w:lang w:val="en-US"/>
          <w14:textFill>
            <w14:solidFill>
              <w14:schemeClr w14:val="tx1"/>
            </w14:solidFill>
          </w14:textFill>
        </w:rPr>
        <w:sectPr>
          <w:footerReference r:id="rId5" w:type="default"/>
          <w:pgSz w:w="16838" w:h="11906" w:orient="landscape"/>
          <w:pgMar w:top="1134" w:right="1134" w:bottom="851" w:left="1701" w:header="709" w:footer="709" w:gutter="0"/>
          <w:cols w:space="0" w:num="1"/>
          <w:docGrid w:linePitch="381" w:charSpace="0"/>
        </w:sectPr>
      </w:pPr>
    </w:p>
    <w:p w14:paraId="7C0F1586">
      <w:pPr>
        <w:widowControl w:val="0"/>
        <w:spacing w:after="0" w:line="240" w:lineRule="auto"/>
        <w:jc w:val="center"/>
        <w:rPr>
          <w:b/>
          <w:bCs/>
          <w:szCs w:val="28"/>
          <w:shd w:val="clear" w:color="auto" w:fill="FFFFFF"/>
          <w:lang w:eastAsia="vi-VN"/>
        </w:rPr>
      </w:pPr>
      <w:bookmarkStart w:id="0" w:name="_Hlk180570931"/>
      <w:bookmarkStart w:id="1" w:name="_Hlk180570894"/>
      <w:r>
        <w:rPr>
          <w:b/>
          <w:bCs/>
          <w:szCs w:val="28"/>
          <w:shd w:val="clear" w:color="auto" w:fill="FFFFFF"/>
          <w:lang w:eastAsia="vi-VN"/>
        </w:rPr>
        <w:t>Mẫu báo giá</w:t>
      </w:r>
    </w:p>
    <w:p w14:paraId="69B9ABB1">
      <w:pPr>
        <w:spacing w:after="60" w:line="240" w:lineRule="auto"/>
        <w:jc w:val="center"/>
        <w:rPr>
          <w:b/>
          <w:bCs/>
          <w:szCs w:val="28"/>
          <w:shd w:val="clear" w:color="auto" w:fill="FFFFFF"/>
          <w:lang w:eastAsia="vi-VN"/>
        </w:rPr>
      </w:pPr>
      <w:r>
        <w:rPr>
          <w:rFonts w:ascii="Times New Roman Bold" w:hAnsi="Times New Roman Bold"/>
          <w:b/>
          <w:spacing w:val="-6"/>
          <w:szCs w:val="28"/>
          <w:shd w:val="clear" w:color="auto" w:fill="FFFFFF"/>
        </w:rPr>
        <w:t xml:space="preserve">Gói thầu </w:t>
      </w:r>
      <w:r>
        <w:rPr>
          <w:b/>
          <w:color w:val="000000"/>
          <w:szCs w:val="28"/>
          <w:lang w:val="en-US"/>
        </w:rPr>
        <w:t>Mua thuốc diệt côn trùng cho khoa Kiểm soát nhiễm khuẩn năm 2026-2028</w:t>
      </w:r>
    </w:p>
    <w:p w14:paraId="12FC8271">
      <w:pPr>
        <w:spacing w:after="60" w:line="240" w:lineRule="auto"/>
        <w:jc w:val="center"/>
        <w:rPr>
          <w:b/>
          <w:bCs/>
          <w:szCs w:val="28"/>
          <w:shd w:val="clear" w:color="auto" w:fill="FFFFFF"/>
          <w:lang w:eastAsia="vi-VN"/>
        </w:rPr>
      </w:pPr>
      <w:r>
        <w:rPr>
          <w:b/>
          <w:bCs/>
          <w:szCs w:val="28"/>
          <w:shd w:val="clear" w:color="auto" w:fill="FFFFFF"/>
          <w:lang w:eastAsia="vi-VN"/>
        </w:rPr>
        <w:t>BÁO GIÁ</w:t>
      </w:r>
    </w:p>
    <w:p w14:paraId="7C24D40E">
      <w:pPr>
        <w:widowControl w:val="0"/>
        <w:spacing w:after="120" w:line="240" w:lineRule="auto"/>
        <w:jc w:val="center"/>
        <w:rPr>
          <w:bCs/>
          <w:szCs w:val="28"/>
          <w:shd w:val="clear" w:color="auto" w:fill="FFFFFF"/>
          <w:lang w:eastAsia="vi-VN"/>
        </w:rPr>
      </w:pPr>
      <w:bookmarkStart w:id="2" w:name="bookmark8"/>
      <w:bookmarkStart w:id="3" w:name="bookmark9"/>
      <w:r>
        <w:rPr>
          <w:bCs/>
          <w:szCs w:val="28"/>
          <w:shd w:val="clear" w:color="auto" w:fill="FFFFFF"/>
          <w:lang w:eastAsia="vi-VN"/>
        </w:rPr>
        <w:t>Kính gửi: ... [ghi rõ tên của Chủ đầu tư yêu cầu báo giá</w:t>
      </w:r>
      <w:bookmarkEnd w:id="2"/>
      <w:bookmarkEnd w:id="3"/>
      <w:r>
        <w:rPr>
          <w:bCs/>
          <w:szCs w:val="28"/>
          <w:shd w:val="clear" w:color="auto" w:fill="FFFFFF"/>
          <w:lang w:eastAsia="vi-VN"/>
        </w:rPr>
        <w:t>]</w:t>
      </w:r>
    </w:p>
    <w:p w14:paraId="2BE82755">
      <w:pPr>
        <w:spacing w:after="60" w:line="240" w:lineRule="auto"/>
        <w:ind w:firstLine="567"/>
        <w:jc w:val="both"/>
        <w:rPr>
          <w:bCs/>
          <w:szCs w:val="28"/>
          <w:shd w:val="clear" w:color="auto" w:fill="FFFFFF"/>
          <w:lang w:val="en-US" w:eastAsia="vi-VN"/>
        </w:rPr>
      </w:pPr>
    </w:p>
    <w:p w14:paraId="0439A04E">
      <w:pPr>
        <w:spacing w:after="120" w:line="320" w:lineRule="exact"/>
        <w:ind w:firstLine="567"/>
        <w:jc w:val="both"/>
        <w:rPr>
          <w:b/>
          <w:color w:val="000000"/>
        </w:rPr>
      </w:pPr>
      <w:r>
        <w:rPr>
          <w:bCs/>
          <w:szCs w:val="28"/>
          <w:shd w:val="clear" w:color="auto" w:fill="FFFFFF"/>
          <w:lang w:eastAsia="vi-VN"/>
        </w:rPr>
        <w:t xml:space="preserve">Trên cơ sở yêu cầu báo giá của.... </w:t>
      </w:r>
      <w:r>
        <w:rPr>
          <w:bCs/>
          <w:i/>
          <w:iCs/>
          <w:szCs w:val="28"/>
          <w:shd w:val="clear" w:color="auto" w:fill="FFFFFF"/>
          <w:lang w:eastAsia="vi-VN"/>
        </w:rPr>
        <w:t>[ghi rõ tên của Chủ đầu tư yêu cầu báo giá],</w:t>
      </w:r>
      <w:r>
        <w:rPr>
          <w:bCs/>
          <w:szCs w:val="28"/>
          <w:shd w:val="clear" w:color="auto" w:fill="FFFFFF"/>
          <w:lang w:eastAsia="vi-VN"/>
        </w:rPr>
        <w:t xml:space="preserve"> chúng </w:t>
      </w:r>
      <w:r>
        <w:rPr>
          <w:bCs/>
          <w:i/>
          <w:iCs/>
          <w:szCs w:val="28"/>
          <w:shd w:val="clear" w:color="auto" w:fill="FFFFFF"/>
          <w:lang w:eastAsia="vi-VN"/>
        </w:rPr>
        <w:t>tôi....[ghi tên, địa chỉ của hãng sản xuất, nhà cung cấp; trường hợp nhiều hãng sản xuất, nhà cung cấp cùng tham gia trong một báo giá (gọi chung là liên danh) thì ghi rõ tên, địa chỉ của các thành viên liên danh]</w:t>
      </w:r>
      <w:r>
        <w:rPr>
          <w:bCs/>
          <w:szCs w:val="28"/>
          <w:shd w:val="clear" w:color="auto" w:fill="FFFFFF"/>
          <w:lang w:eastAsia="vi-VN"/>
        </w:rPr>
        <w:t xml:space="preserve"> báo giá </w:t>
      </w:r>
      <w:r>
        <w:rPr>
          <w:b/>
          <w:color w:val="000000"/>
          <w:szCs w:val="28"/>
          <w:lang w:val="en-US"/>
        </w:rPr>
        <w:t>Mua thuốc diệt côn trùng cho khoa Kiểm soát nhiễm khuẩn năm 2026-2028</w:t>
      </w:r>
      <w:r>
        <w:rPr>
          <w:b/>
          <w:bCs/>
          <w:szCs w:val="28"/>
          <w:shd w:val="clear" w:color="auto" w:fill="FFFFFF"/>
          <w:lang w:eastAsia="vi-VN"/>
        </w:rPr>
        <w:t xml:space="preserve"> </w:t>
      </w:r>
      <w:r>
        <w:rPr>
          <w:bCs/>
          <w:szCs w:val="28"/>
          <w:shd w:val="clear" w:color="auto" w:fill="FFFFFF"/>
          <w:lang w:eastAsia="vi-VN"/>
        </w:rPr>
        <w:t>như sau:</w:t>
      </w:r>
    </w:p>
    <w:p w14:paraId="31C77B32">
      <w:pPr>
        <w:widowControl w:val="0"/>
        <w:spacing w:after="120" w:line="320" w:lineRule="exact"/>
        <w:ind w:firstLine="567"/>
        <w:jc w:val="both"/>
        <w:rPr>
          <w:bCs/>
          <w:szCs w:val="28"/>
          <w:shd w:val="clear" w:color="auto" w:fill="FFFFFF"/>
          <w:lang w:eastAsia="vi-VN"/>
        </w:rPr>
      </w:pPr>
      <w:r>
        <w:rPr>
          <w:bCs/>
          <w:szCs w:val="28"/>
          <w:shd w:val="clear" w:color="auto" w:fill="FFFFFF"/>
          <w:lang w:val="en-US" w:eastAsia="vi-VN"/>
        </w:rPr>
        <w:t xml:space="preserve">1. </w:t>
      </w:r>
      <w:r>
        <w:rPr>
          <w:bCs/>
          <w:szCs w:val="28"/>
          <w:shd w:val="clear" w:color="auto" w:fill="FFFFFF"/>
          <w:lang w:eastAsia="vi-VN"/>
        </w:rPr>
        <w:t xml:space="preserve">Báo giá </w:t>
      </w:r>
      <w:r>
        <w:rPr>
          <w:b/>
          <w:color w:val="000000"/>
          <w:szCs w:val="28"/>
          <w:lang w:val="en-US"/>
        </w:rPr>
        <w:t>Thuốc diệt côn trùng cho khoa Kiểm soát nhiễm khuẩn năm 2026</w:t>
      </w:r>
      <w:r>
        <w:rPr>
          <w:b/>
          <w:color w:val="000000"/>
          <w:szCs w:val="28"/>
        </w:rPr>
        <w:t>:</w:t>
      </w:r>
    </w:p>
    <w:tbl>
      <w:tblPr>
        <w:tblStyle w:val="4"/>
        <w:tblW w:w="4860" w:type="pct"/>
        <w:jc w:val="center"/>
        <w:tblLayout w:type="autofit"/>
        <w:tblCellMar>
          <w:top w:w="0" w:type="dxa"/>
          <w:left w:w="0" w:type="dxa"/>
          <w:bottom w:w="0" w:type="dxa"/>
          <w:right w:w="0" w:type="dxa"/>
        </w:tblCellMar>
      </w:tblPr>
      <w:tblGrid>
        <w:gridCol w:w="719"/>
        <w:gridCol w:w="1558"/>
        <w:gridCol w:w="1441"/>
        <w:gridCol w:w="1201"/>
        <w:gridCol w:w="1041"/>
        <w:gridCol w:w="1136"/>
        <w:gridCol w:w="1278"/>
        <w:gridCol w:w="994"/>
        <w:gridCol w:w="1419"/>
        <w:gridCol w:w="1419"/>
        <w:gridCol w:w="1415"/>
      </w:tblGrid>
      <w:tr w14:paraId="0554935F">
        <w:tblPrEx>
          <w:tblCellMar>
            <w:top w:w="0" w:type="dxa"/>
            <w:left w:w="0" w:type="dxa"/>
            <w:bottom w:w="0" w:type="dxa"/>
            <w:right w:w="0" w:type="dxa"/>
          </w:tblCellMar>
        </w:tblPrEx>
        <w:trPr>
          <w:trHeight w:val="18" w:hRule="atLeast"/>
          <w:jc w:val="center"/>
        </w:trPr>
        <w:tc>
          <w:tcPr>
            <w:tcW w:w="264" w:type="pct"/>
            <w:tcBorders>
              <w:top w:val="single" w:color="auto" w:sz="4" w:space="0"/>
              <w:left w:val="single" w:color="auto" w:sz="4" w:space="0"/>
              <w:bottom w:val="nil"/>
              <w:right w:val="nil"/>
            </w:tcBorders>
            <w:shd w:val="clear" w:color="auto" w:fill="FFFFFF"/>
            <w:vAlign w:val="center"/>
          </w:tcPr>
          <w:p w14:paraId="4CCE031B">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STT</w:t>
            </w:r>
          </w:p>
        </w:tc>
        <w:tc>
          <w:tcPr>
            <w:tcW w:w="572" w:type="pct"/>
            <w:tcBorders>
              <w:top w:val="single" w:color="auto" w:sz="4" w:space="0"/>
              <w:left w:val="single" w:color="auto" w:sz="4" w:space="0"/>
              <w:bottom w:val="nil"/>
              <w:right w:val="nil"/>
            </w:tcBorders>
            <w:shd w:val="clear" w:color="auto" w:fill="FFFFFF"/>
            <w:vAlign w:val="center"/>
          </w:tcPr>
          <w:p w14:paraId="34AEE014">
            <w:pPr>
              <w:widowControl w:val="0"/>
              <w:spacing w:after="0" w:line="320" w:lineRule="exact"/>
              <w:jc w:val="center"/>
              <w:rPr>
                <w:b/>
                <w:sz w:val="26"/>
                <w:szCs w:val="26"/>
              </w:rPr>
            </w:pPr>
            <w:r>
              <w:rPr>
                <w:b/>
                <w:sz w:val="26"/>
                <w:szCs w:val="26"/>
              </w:rPr>
              <w:t xml:space="preserve">Danh mục </w:t>
            </w:r>
          </w:p>
          <w:p w14:paraId="165A09C3">
            <w:pPr>
              <w:widowControl w:val="0"/>
              <w:spacing w:after="0" w:line="320" w:lineRule="exact"/>
              <w:jc w:val="center"/>
              <w:rPr>
                <w:b/>
                <w:bCs/>
                <w:sz w:val="26"/>
                <w:szCs w:val="26"/>
                <w:shd w:val="clear" w:color="auto" w:fill="FFFFFF"/>
                <w:lang w:eastAsia="vi-VN"/>
              </w:rPr>
            </w:pPr>
            <w:r>
              <w:rPr>
                <w:b/>
                <w:sz w:val="26"/>
                <w:szCs w:val="26"/>
              </w:rPr>
              <w:t>hàng hóa</w:t>
            </w:r>
          </w:p>
        </w:tc>
        <w:tc>
          <w:tcPr>
            <w:tcW w:w="529" w:type="pct"/>
            <w:tcBorders>
              <w:top w:val="single" w:color="auto" w:sz="4" w:space="0"/>
              <w:left w:val="single" w:color="auto" w:sz="4" w:space="0"/>
              <w:bottom w:val="nil"/>
              <w:right w:val="single" w:color="auto" w:sz="4" w:space="0"/>
            </w:tcBorders>
            <w:shd w:val="clear" w:color="auto" w:fill="FFFFFF"/>
            <w:vAlign w:val="center"/>
          </w:tcPr>
          <w:p w14:paraId="17354759">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Đặc tính kỹ thuật, thông số kỹ thuật</w:t>
            </w:r>
            <w:r>
              <w:rPr>
                <w:b/>
                <w:bCs/>
                <w:sz w:val="26"/>
                <w:szCs w:val="26"/>
                <w:shd w:val="clear" w:color="auto" w:fill="FFFFFF"/>
                <w:lang w:eastAsia="vi-VN"/>
              </w:rPr>
              <w:br w:type="textWrapping"/>
            </w:r>
            <w:r>
              <w:rPr>
                <w:b/>
                <w:bCs/>
                <w:sz w:val="26"/>
                <w:szCs w:val="26"/>
                <w:shd w:val="clear" w:color="auto" w:fill="FFFFFF"/>
                <w:lang w:eastAsia="vi-VN"/>
              </w:rPr>
              <w:t>(nếu có)</w:t>
            </w:r>
          </w:p>
        </w:tc>
        <w:tc>
          <w:tcPr>
            <w:tcW w:w="441" w:type="pct"/>
            <w:tcBorders>
              <w:top w:val="single" w:color="auto" w:sz="4" w:space="0"/>
              <w:left w:val="single" w:color="auto" w:sz="4" w:space="0"/>
              <w:bottom w:val="nil"/>
              <w:right w:val="single" w:color="auto" w:sz="4" w:space="0"/>
            </w:tcBorders>
            <w:shd w:val="clear" w:color="auto" w:fill="FFFFFF"/>
            <w:vAlign w:val="center"/>
          </w:tcPr>
          <w:p w14:paraId="71FEDC13">
            <w:pPr>
              <w:widowControl w:val="0"/>
              <w:spacing w:after="120" w:line="320" w:lineRule="exact"/>
              <w:jc w:val="center"/>
              <w:rPr>
                <w:b/>
                <w:bCs/>
                <w:sz w:val="26"/>
                <w:szCs w:val="26"/>
                <w:shd w:val="clear" w:color="auto" w:fill="FFFFFF"/>
                <w:lang w:val="en-US" w:eastAsia="vi-VN"/>
              </w:rPr>
            </w:pPr>
            <w:r>
              <w:rPr>
                <w:b/>
                <w:bCs/>
                <w:sz w:val="26"/>
                <w:szCs w:val="26"/>
                <w:shd w:val="clear" w:color="auto" w:fill="FFFFFF"/>
                <w:lang w:val="en-US" w:eastAsia="vi-VN"/>
              </w:rPr>
              <w:t>Ký mã hiệu</w:t>
            </w:r>
          </w:p>
        </w:tc>
        <w:tc>
          <w:tcPr>
            <w:tcW w:w="382" w:type="pct"/>
            <w:tcBorders>
              <w:top w:val="single" w:color="auto" w:sz="4" w:space="0"/>
              <w:left w:val="single" w:color="auto" w:sz="4" w:space="0"/>
              <w:bottom w:val="nil"/>
              <w:right w:val="nil"/>
            </w:tcBorders>
            <w:shd w:val="clear" w:color="auto" w:fill="FFFFFF"/>
            <w:vAlign w:val="center"/>
          </w:tcPr>
          <w:p w14:paraId="7264B6A3">
            <w:pPr>
              <w:widowControl w:val="0"/>
              <w:spacing w:after="120" w:line="320" w:lineRule="exact"/>
              <w:jc w:val="center"/>
              <w:rPr>
                <w:b/>
                <w:bCs/>
                <w:sz w:val="26"/>
                <w:szCs w:val="26"/>
                <w:shd w:val="clear" w:color="auto" w:fill="FFFFFF"/>
                <w:lang w:eastAsia="vi-VN"/>
              </w:rPr>
            </w:pPr>
          </w:p>
          <w:p w14:paraId="594DAE53">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Hãng sản xuất</w:t>
            </w:r>
          </w:p>
          <w:p w14:paraId="142595E0">
            <w:pPr>
              <w:widowControl w:val="0"/>
              <w:spacing w:after="120" w:line="320" w:lineRule="exact"/>
              <w:jc w:val="center"/>
              <w:rPr>
                <w:b/>
                <w:bCs/>
                <w:sz w:val="26"/>
                <w:szCs w:val="26"/>
                <w:shd w:val="clear" w:color="auto" w:fill="FFFFFF"/>
                <w:vertAlign w:val="superscript"/>
                <w:lang w:eastAsia="vi-VN"/>
              </w:rPr>
            </w:pPr>
          </w:p>
        </w:tc>
        <w:tc>
          <w:tcPr>
            <w:tcW w:w="417" w:type="pct"/>
            <w:tcBorders>
              <w:top w:val="single" w:color="auto" w:sz="4" w:space="0"/>
              <w:left w:val="single" w:color="auto" w:sz="4" w:space="0"/>
              <w:bottom w:val="nil"/>
              <w:right w:val="single" w:color="auto" w:sz="4" w:space="0"/>
            </w:tcBorders>
            <w:shd w:val="clear" w:color="auto" w:fill="FFFFFF"/>
          </w:tcPr>
          <w:p w14:paraId="373E9EF3">
            <w:pPr>
              <w:widowControl w:val="0"/>
              <w:spacing w:after="120" w:line="320" w:lineRule="exact"/>
              <w:jc w:val="center"/>
              <w:rPr>
                <w:b/>
                <w:bCs/>
                <w:sz w:val="26"/>
                <w:szCs w:val="26"/>
                <w:shd w:val="clear" w:color="auto" w:fill="FFFFFF"/>
                <w:lang w:eastAsia="vi-VN"/>
              </w:rPr>
            </w:pPr>
          </w:p>
          <w:p w14:paraId="4B3AD527">
            <w:pPr>
              <w:widowControl w:val="0"/>
              <w:spacing w:after="120" w:line="320" w:lineRule="exact"/>
              <w:jc w:val="center"/>
              <w:rPr>
                <w:b/>
                <w:bCs/>
                <w:sz w:val="26"/>
                <w:szCs w:val="26"/>
                <w:shd w:val="clear" w:color="auto" w:fill="FFFFFF"/>
                <w:lang w:val="en-US" w:eastAsia="vi-VN"/>
              </w:rPr>
            </w:pPr>
            <w:r>
              <w:rPr>
                <w:b/>
                <w:bCs/>
                <w:sz w:val="26"/>
                <w:szCs w:val="26"/>
                <w:shd w:val="clear" w:color="auto" w:fill="FFFFFF"/>
                <w:lang w:val="en-US" w:eastAsia="vi-VN"/>
              </w:rPr>
              <w:t>Nước sản xuất</w:t>
            </w:r>
          </w:p>
        </w:tc>
        <w:tc>
          <w:tcPr>
            <w:tcW w:w="469" w:type="pct"/>
            <w:tcBorders>
              <w:top w:val="single" w:color="auto" w:sz="4" w:space="0"/>
              <w:left w:val="single" w:color="auto" w:sz="4" w:space="0"/>
              <w:bottom w:val="nil"/>
              <w:right w:val="single" w:color="auto" w:sz="4" w:space="0"/>
            </w:tcBorders>
            <w:shd w:val="clear" w:color="auto" w:fill="FFFFFF"/>
            <w:vAlign w:val="center"/>
          </w:tcPr>
          <w:p w14:paraId="00F35F30">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Số lượng/ khối lượng</w:t>
            </w:r>
          </w:p>
        </w:tc>
        <w:tc>
          <w:tcPr>
            <w:tcW w:w="365" w:type="pct"/>
            <w:tcBorders>
              <w:top w:val="single" w:color="auto" w:sz="4" w:space="0"/>
              <w:left w:val="single" w:color="auto" w:sz="4" w:space="0"/>
              <w:bottom w:val="nil"/>
              <w:right w:val="nil"/>
            </w:tcBorders>
            <w:shd w:val="clear" w:color="auto" w:fill="FFFFFF"/>
            <w:vAlign w:val="center"/>
          </w:tcPr>
          <w:p w14:paraId="13975961">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Đơn vị tính</w:t>
            </w:r>
          </w:p>
        </w:tc>
        <w:tc>
          <w:tcPr>
            <w:tcW w:w="521" w:type="pct"/>
            <w:tcBorders>
              <w:top w:val="single" w:color="auto" w:sz="4" w:space="0"/>
              <w:left w:val="single" w:color="auto" w:sz="4" w:space="0"/>
              <w:bottom w:val="nil"/>
              <w:right w:val="nil"/>
            </w:tcBorders>
            <w:shd w:val="clear" w:color="auto" w:fill="FFFFFF"/>
            <w:vAlign w:val="center"/>
          </w:tcPr>
          <w:p w14:paraId="304CA6C5">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Đơn giá</w:t>
            </w:r>
            <w:r>
              <w:rPr>
                <w:b/>
                <w:bCs/>
                <w:sz w:val="26"/>
                <w:szCs w:val="26"/>
                <w:shd w:val="clear" w:color="auto" w:fill="FFFFFF"/>
                <w:vertAlign w:val="superscript"/>
                <w:lang w:eastAsia="vi-VN"/>
              </w:rPr>
              <w:t xml:space="preserve"> </w:t>
            </w:r>
            <w:r>
              <w:rPr>
                <w:b/>
                <w:bCs/>
                <w:sz w:val="26"/>
                <w:szCs w:val="26"/>
                <w:shd w:val="clear" w:color="auto" w:fill="FFFFFF"/>
                <w:lang w:val="en-US" w:eastAsia="vi-VN"/>
              </w:rPr>
              <w:t xml:space="preserve">trước thuế </w:t>
            </w:r>
            <w:r>
              <w:rPr>
                <w:b/>
                <w:bCs/>
                <w:sz w:val="26"/>
                <w:szCs w:val="26"/>
                <w:shd w:val="clear" w:color="auto" w:fill="FFFFFF"/>
                <w:lang w:eastAsia="vi-VN"/>
              </w:rPr>
              <w:t>(VND)</w:t>
            </w:r>
          </w:p>
        </w:tc>
        <w:tc>
          <w:tcPr>
            <w:tcW w:w="521" w:type="pct"/>
            <w:tcBorders>
              <w:top w:val="single" w:color="auto" w:sz="4" w:space="0"/>
              <w:left w:val="single" w:color="auto" w:sz="4" w:space="0"/>
              <w:bottom w:val="nil"/>
              <w:right w:val="single" w:color="auto" w:sz="4" w:space="0"/>
            </w:tcBorders>
            <w:shd w:val="clear" w:color="auto" w:fill="FFFFFF"/>
          </w:tcPr>
          <w:p w14:paraId="06C905A9">
            <w:pPr>
              <w:widowControl w:val="0"/>
              <w:spacing w:after="120" w:line="320" w:lineRule="exact"/>
              <w:jc w:val="center"/>
              <w:rPr>
                <w:b/>
                <w:bCs/>
                <w:sz w:val="26"/>
                <w:szCs w:val="26"/>
                <w:shd w:val="clear" w:color="auto" w:fill="FFFFFF"/>
                <w:lang w:val="en-US" w:eastAsia="vi-VN"/>
              </w:rPr>
            </w:pPr>
          </w:p>
          <w:p w14:paraId="14121B91">
            <w:pPr>
              <w:widowControl w:val="0"/>
              <w:spacing w:after="0" w:line="320" w:lineRule="exact"/>
              <w:jc w:val="center"/>
              <w:rPr>
                <w:b/>
                <w:bCs/>
                <w:sz w:val="26"/>
                <w:szCs w:val="26"/>
                <w:shd w:val="clear" w:color="auto" w:fill="FFFFFF"/>
                <w:lang w:val="en-US" w:eastAsia="vi-VN"/>
              </w:rPr>
            </w:pPr>
            <w:r>
              <w:rPr>
                <w:b/>
                <w:bCs/>
                <w:sz w:val="26"/>
                <w:szCs w:val="26"/>
                <w:shd w:val="clear" w:color="auto" w:fill="FFFFFF"/>
                <w:lang w:val="en-US" w:eastAsia="vi-VN"/>
              </w:rPr>
              <w:t xml:space="preserve">Thuế </w:t>
            </w:r>
          </w:p>
          <w:p w14:paraId="63F3932A">
            <w:pPr>
              <w:widowControl w:val="0"/>
              <w:spacing w:after="0" w:line="320" w:lineRule="exact"/>
              <w:jc w:val="center"/>
              <w:rPr>
                <w:b/>
                <w:bCs/>
                <w:sz w:val="26"/>
                <w:szCs w:val="26"/>
                <w:shd w:val="clear" w:color="auto" w:fill="FFFFFF"/>
                <w:lang w:val="en-US" w:eastAsia="vi-VN"/>
              </w:rPr>
            </w:pPr>
            <w:r>
              <w:rPr>
                <w:b/>
                <w:bCs/>
                <w:sz w:val="26"/>
                <w:szCs w:val="26"/>
                <w:shd w:val="clear" w:color="auto" w:fill="FFFFFF"/>
                <w:lang w:val="en-US" w:eastAsia="vi-VN"/>
              </w:rPr>
              <w:t>(VAT)</w:t>
            </w:r>
          </w:p>
        </w:tc>
        <w:tc>
          <w:tcPr>
            <w:tcW w:w="521" w:type="pct"/>
            <w:tcBorders>
              <w:top w:val="single" w:color="auto" w:sz="4" w:space="0"/>
              <w:left w:val="single" w:color="auto" w:sz="4" w:space="0"/>
              <w:bottom w:val="nil"/>
              <w:right w:val="single" w:color="auto" w:sz="4" w:space="0"/>
            </w:tcBorders>
            <w:shd w:val="clear" w:color="auto" w:fill="FFFFFF"/>
            <w:vAlign w:val="center"/>
          </w:tcPr>
          <w:p w14:paraId="07A6B251">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Thành tiền</w:t>
            </w:r>
          </w:p>
          <w:p w14:paraId="211387FC">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(VND)</w:t>
            </w:r>
          </w:p>
        </w:tc>
      </w:tr>
      <w:tr w14:paraId="76ACEE24">
        <w:tblPrEx>
          <w:tblCellMar>
            <w:top w:w="0" w:type="dxa"/>
            <w:left w:w="0" w:type="dxa"/>
            <w:bottom w:w="0" w:type="dxa"/>
            <w:right w:w="0" w:type="dxa"/>
          </w:tblCellMar>
        </w:tblPrEx>
        <w:trPr>
          <w:trHeight w:val="18" w:hRule="atLeast"/>
          <w:jc w:val="center"/>
        </w:trPr>
        <w:tc>
          <w:tcPr>
            <w:tcW w:w="264" w:type="pct"/>
            <w:tcBorders>
              <w:top w:val="single" w:color="auto" w:sz="4" w:space="0"/>
              <w:left w:val="single" w:color="auto" w:sz="4" w:space="0"/>
              <w:bottom w:val="nil"/>
              <w:right w:val="nil"/>
            </w:tcBorders>
            <w:shd w:val="clear" w:color="auto" w:fill="FFFFFF"/>
            <w:vAlign w:val="bottom"/>
          </w:tcPr>
          <w:p w14:paraId="18A663EA">
            <w:pPr>
              <w:widowControl w:val="0"/>
              <w:spacing w:after="120" w:line="320" w:lineRule="exact"/>
              <w:rPr>
                <w:bCs/>
                <w:sz w:val="26"/>
                <w:szCs w:val="26"/>
                <w:shd w:val="clear" w:color="auto" w:fill="FFFFFF"/>
                <w:lang w:eastAsia="vi-VN"/>
              </w:rPr>
            </w:pPr>
            <w:r>
              <w:rPr>
                <w:bCs/>
                <w:sz w:val="26"/>
                <w:szCs w:val="26"/>
                <w:shd w:val="clear" w:color="auto" w:fill="FFFFFF"/>
                <w:lang w:eastAsia="vi-VN"/>
              </w:rPr>
              <w:t>1</w:t>
            </w:r>
          </w:p>
        </w:tc>
        <w:tc>
          <w:tcPr>
            <w:tcW w:w="572" w:type="pct"/>
            <w:tcBorders>
              <w:top w:val="single" w:color="auto" w:sz="4" w:space="0"/>
              <w:left w:val="single" w:color="auto" w:sz="4" w:space="0"/>
              <w:bottom w:val="nil"/>
              <w:right w:val="nil"/>
            </w:tcBorders>
            <w:shd w:val="clear" w:color="auto" w:fill="FFFFFF"/>
            <w:vAlign w:val="center"/>
          </w:tcPr>
          <w:p w14:paraId="4253D346">
            <w:pPr>
              <w:widowControl w:val="0"/>
              <w:spacing w:after="120" w:line="320" w:lineRule="exact"/>
              <w:rPr>
                <w:bCs/>
                <w:sz w:val="26"/>
                <w:szCs w:val="26"/>
                <w:shd w:val="clear" w:color="auto" w:fill="FFFFFF"/>
                <w:lang w:eastAsia="vi-VN"/>
              </w:rPr>
            </w:pPr>
          </w:p>
        </w:tc>
        <w:tc>
          <w:tcPr>
            <w:tcW w:w="529" w:type="pct"/>
            <w:tcBorders>
              <w:top w:val="single" w:color="auto" w:sz="4" w:space="0"/>
              <w:left w:val="single" w:color="auto" w:sz="4" w:space="0"/>
              <w:bottom w:val="nil"/>
              <w:right w:val="single" w:color="auto" w:sz="4" w:space="0"/>
            </w:tcBorders>
            <w:shd w:val="clear" w:color="auto" w:fill="FFFFFF"/>
          </w:tcPr>
          <w:p w14:paraId="24DCFCA9">
            <w:pPr>
              <w:widowControl w:val="0"/>
              <w:spacing w:after="120" w:line="320" w:lineRule="exact"/>
              <w:rPr>
                <w:bCs/>
                <w:sz w:val="26"/>
                <w:szCs w:val="26"/>
                <w:shd w:val="clear" w:color="auto" w:fill="FFFFFF"/>
                <w:lang w:eastAsia="vi-VN"/>
              </w:rPr>
            </w:pPr>
          </w:p>
        </w:tc>
        <w:tc>
          <w:tcPr>
            <w:tcW w:w="441" w:type="pct"/>
            <w:tcBorders>
              <w:top w:val="single" w:color="auto" w:sz="4" w:space="0"/>
              <w:left w:val="single" w:color="auto" w:sz="4" w:space="0"/>
              <w:bottom w:val="nil"/>
              <w:right w:val="single" w:color="auto" w:sz="4" w:space="0"/>
            </w:tcBorders>
            <w:shd w:val="clear" w:color="auto" w:fill="FFFFFF"/>
          </w:tcPr>
          <w:p w14:paraId="4CD5A17B">
            <w:pPr>
              <w:widowControl w:val="0"/>
              <w:spacing w:after="120" w:line="320" w:lineRule="exact"/>
              <w:rPr>
                <w:bCs/>
                <w:sz w:val="26"/>
                <w:szCs w:val="26"/>
                <w:shd w:val="clear" w:color="auto" w:fill="FFFFFF"/>
                <w:lang w:eastAsia="vi-VN"/>
              </w:rPr>
            </w:pPr>
          </w:p>
        </w:tc>
        <w:tc>
          <w:tcPr>
            <w:tcW w:w="382" w:type="pct"/>
            <w:tcBorders>
              <w:top w:val="single" w:color="auto" w:sz="4" w:space="0"/>
              <w:left w:val="single" w:color="auto" w:sz="4" w:space="0"/>
              <w:bottom w:val="nil"/>
              <w:right w:val="nil"/>
            </w:tcBorders>
            <w:shd w:val="clear" w:color="auto" w:fill="FFFFFF"/>
          </w:tcPr>
          <w:p w14:paraId="3AA0CD77">
            <w:pPr>
              <w:widowControl w:val="0"/>
              <w:spacing w:after="120" w:line="320" w:lineRule="exact"/>
              <w:rPr>
                <w:bCs/>
                <w:sz w:val="26"/>
                <w:szCs w:val="26"/>
                <w:shd w:val="clear" w:color="auto" w:fill="FFFFFF"/>
                <w:lang w:eastAsia="vi-VN"/>
              </w:rPr>
            </w:pPr>
          </w:p>
        </w:tc>
        <w:tc>
          <w:tcPr>
            <w:tcW w:w="417" w:type="pct"/>
            <w:tcBorders>
              <w:top w:val="single" w:color="auto" w:sz="4" w:space="0"/>
              <w:left w:val="single" w:color="auto" w:sz="4" w:space="0"/>
              <w:bottom w:val="nil"/>
              <w:right w:val="single" w:color="auto" w:sz="4" w:space="0"/>
            </w:tcBorders>
            <w:shd w:val="clear" w:color="auto" w:fill="FFFFFF"/>
          </w:tcPr>
          <w:p w14:paraId="22E9C313">
            <w:pPr>
              <w:widowControl w:val="0"/>
              <w:spacing w:after="120" w:line="320" w:lineRule="exact"/>
              <w:rPr>
                <w:bCs/>
                <w:sz w:val="26"/>
                <w:szCs w:val="26"/>
                <w:shd w:val="clear" w:color="auto" w:fill="FFFFFF"/>
                <w:lang w:eastAsia="vi-VN"/>
              </w:rPr>
            </w:pPr>
          </w:p>
        </w:tc>
        <w:tc>
          <w:tcPr>
            <w:tcW w:w="469" w:type="pct"/>
            <w:tcBorders>
              <w:top w:val="single" w:color="auto" w:sz="4" w:space="0"/>
              <w:left w:val="single" w:color="auto" w:sz="4" w:space="0"/>
              <w:bottom w:val="nil"/>
              <w:right w:val="single" w:color="auto" w:sz="4" w:space="0"/>
            </w:tcBorders>
            <w:shd w:val="clear" w:color="auto" w:fill="FFFFFF"/>
          </w:tcPr>
          <w:p w14:paraId="45F729A5">
            <w:pPr>
              <w:widowControl w:val="0"/>
              <w:spacing w:after="120" w:line="320" w:lineRule="exact"/>
              <w:rPr>
                <w:bCs/>
                <w:sz w:val="26"/>
                <w:szCs w:val="26"/>
                <w:shd w:val="clear" w:color="auto" w:fill="FFFFFF"/>
                <w:lang w:eastAsia="vi-VN"/>
              </w:rPr>
            </w:pPr>
          </w:p>
        </w:tc>
        <w:tc>
          <w:tcPr>
            <w:tcW w:w="365" w:type="pct"/>
            <w:tcBorders>
              <w:top w:val="single" w:color="auto" w:sz="4" w:space="0"/>
              <w:left w:val="single" w:color="auto" w:sz="4" w:space="0"/>
              <w:bottom w:val="nil"/>
              <w:right w:val="nil"/>
            </w:tcBorders>
            <w:shd w:val="clear" w:color="auto" w:fill="FFFFFF"/>
          </w:tcPr>
          <w:p w14:paraId="3605697F">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nil"/>
              <w:right w:val="nil"/>
            </w:tcBorders>
            <w:shd w:val="clear" w:color="auto" w:fill="FFFFFF"/>
          </w:tcPr>
          <w:p w14:paraId="08ACFCB7">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nil"/>
              <w:right w:val="single" w:color="auto" w:sz="4" w:space="0"/>
            </w:tcBorders>
            <w:shd w:val="clear" w:color="auto" w:fill="FFFFFF"/>
          </w:tcPr>
          <w:p w14:paraId="433A0D67">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nil"/>
              <w:right w:val="single" w:color="auto" w:sz="4" w:space="0"/>
            </w:tcBorders>
            <w:shd w:val="clear" w:color="auto" w:fill="FFFFFF"/>
          </w:tcPr>
          <w:p w14:paraId="6F67A835">
            <w:pPr>
              <w:widowControl w:val="0"/>
              <w:spacing w:after="120" w:line="320" w:lineRule="exact"/>
              <w:rPr>
                <w:bCs/>
                <w:sz w:val="26"/>
                <w:szCs w:val="26"/>
                <w:shd w:val="clear" w:color="auto" w:fill="FFFFFF"/>
                <w:lang w:eastAsia="vi-VN"/>
              </w:rPr>
            </w:pPr>
          </w:p>
        </w:tc>
      </w:tr>
      <w:tr w14:paraId="30D581DA">
        <w:tblPrEx>
          <w:tblCellMar>
            <w:top w:w="0" w:type="dxa"/>
            <w:left w:w="0" w:type="dxa"/>
            <w:bottom w:w="0" w:type="dxa"/>
            <w:right w:w="0" w:type="dxa"/>
          </w:tblCellMar>
        </w:tblPrEx>
        <w:trPr>
          <w:trHeight w:val="18" w:hRule="atLeast"/>
          <w:jc w:val="center"/>
        </w:trPr>
        <w:tc>
          <w:tcPr>
            <w:tcW w:w="264" w:type="pct"/>
            <w:tcBorders>
              <w:top w:val="single" w:color="auto" w:sz="4" w:space="0"/>
              <w:left w:val="single" w:color="auto" w:sz="4" w:space="0"/>
              <w:bottom w:val="nil"/>
              <w:right w:val="nil"/>
            </w:tcBorders>
            <w:shd w:val="clear" w:color="auto" w:fill="FFFFFF"/>
            <w:vAlign w:val="bottom"/>
          </w:tcPr>
          <w:p w14:paraId="6338C2B4">
            <w:pPr>
              <w:widowControl w:val="0"/>
              <w:spacing w:after="120" w:line="320" w:lineRule="exact"/>
              <w:rPr>
                <w:bCs/>
                <w:sz w:val="26"/>
                <w:szCs w:val="26"/>
                <w:shd w:val="clear" w:color="auto" w:fill="FFFFFF"/>
                <w:lang w:eastAsia="vi-VN"/>
              </w:rPr>
            </w:pPr>
            <w:r>
              <w:rPr>
                <w:bCs/>
                <w:sz w:val="26"/>
                <w:szCs w:val="26"/>
                <w:shd w:val="clear" w:color="auto" w:fill="FFFFFF"/>
                <w:lang w:eastAsia="vi-VN"/>
              </w:rPr>
              <w:t>2</w:t>
            </w:r>
          </w:p>
        </w:tc>
        <w:tc>
          <w:tcPr>
            <w:tcW w:w="572" w:type="pct"/>
            <w:tcBorders>
              <w:top w:val="single" w:color="auto" w:sz="4" w:space="0"/>
              <w:left w:val="single" w:color="auto" w:sz="4" w:space="0"/>
              <w:bottom w:val="nil"/>
              <w:right w:val="nil"/>
            </w:tcBorders>
            <w:shd w:val="clear" w:color="auto" w:fill="FFFFFF"/>
            <w:vAlign w:val="center"/>
          </w:tcPr>
          <w:p w14:paraId="13925553">
            <w:pPr>
              <w:widowControl w:val="0"/>
              <w:spacing w:after="120" w:line="320" w:lineRule="exact"/>
              <w:rPr>
                <w:bCs/>
                <w:sz w:val="26"/>
                <w:szCs w:val="26"/>
                <w:shd w:val="clear" w:color="auto" w:fill="FFFFFF"/>
                <w:lang w:eastAsia="vi-VN"/>
              </w:rPr>
            </w:pPr>
          </w:p>
        </w:tc>
        <w:tc>
          <w:tcPr>
            <w:tcW w:w="529" w:type="pct"/>
            <w:tcBorders>
              <w:top w:val="single" w:color="auto" w:sz="4" w:space="0"/>
              <w:left w:val="single" w:color="auto" w:sz="4" w:space="0"/>
              <w:bottom w:val="nil"/>
              <w:right w:val="single" w:color="auto" w:sz="4" w:space="0"/>
            </w:tcBorders>
            <w:shd w:val="clear" w:color="auto" w:fill="FFFFFF"/>
          </w:tcPr>
          <w:p w14:paraId="6FE01423">
            <w:pPr>
              <w:widowControl w:val="0"/>
              <w:spacing w:after="120" w:line="320" w:lineRule="exact"/>
              <w:rPr>
                <w:bCs/>
                <w:sz w:val="26"/>
                <w:szCs w:val="26"/>
                <w:shd w:val="clear" w:color="auto" w:fill="FFFFFF"/>
                <w:lang w:eastAsia="vi-VN"/>
              </w:rPr>
            </w:pPr>
          </w:p>
        </w:tc>
        <w:tc>
          <w:tcPr>
            <w:tcW w:w="441" w:type="pct"/>
            <w:tcBorders>
              <w:top w:val="single" w:color="auto" w:sz="4" w:space="0"/>
              <w:left w:val="single" w:color="auto" w:sz="4" w:space="0"/>
              <w:bottom w:val="nil"/>
              <w:right w:val="single" w:color="auto" w:sz="4" w:space="0"/>
            </w:tcBorders>
            <w:shd w:val="clear" w:color="auto" w:fill="FFFFFF"/>
          </w:tcPr>
          <w:p w14:paraId="02716B65">
            <w:pPr>
              <w:widowControl w:val="0"/>
              <w:spacing w:after="120" w:line="320" w:lineRule="exact"/>
              <w:rPr>
                <w:bCs/>
                <w:sz w:val="26"/>
                <w:szCs w:val="26"/>
                <w:shd w:val="clear" w:color="auto" w:fill="FFFFFF"/>
                <w:lang w:eastAsia="vi-VN"/>
              </w:rPr>
            </w:pPr>
          </w:p>
        </w:tc>
        <w:tc>
          <w:tcPr>
            <w:tcW w:w="382" w:type="pct"/>
            <w:tcBorders>
              <w:top w:val="single" w:color="auto" w:sz="4" w:space="0"/>
              <w:left w:val="single" w:color="auto" w:sz="4" w:space="0"/>
              <w:bottom w:val="nil"/>
              <w:right w:val="nil"/>
            </w:tcBorders>
            <w:shd w:val="clear" w:color="auto" w:fill="FFFFFF"/>
          </w:tcPr>
          <w:p w14:paraId="5431ABBA">
            <w:pPr>
              <w:widowControl w:val="0"/>
              <w:spacing w:after="120" w:line="320" w:lineRule="exact"/>
              <w:rPr>
                <w:bCs/>
                <w:sz w:val="26"/>
                <w:szCs w:val="26"/>
                <w:shd w:val="clear" w:color="auto" w:fill="FFFFFF"/>
                <w:lang w:eastAsia="vi-VN"/>
              </w:rPr>
            </w:pPr>
          </w:p>
        </w:tc>
        <w:tc>
          <w:tcPr>
            <w:tcW w:w="417" w:type="pct"/>
            <w:tcBorders>
              <w:top w:val="single" w:color="auto" w:sz="4" w:space="0"/>
              <w:left w:val="single" w:color="auto" w:sz="4" w:space="0"/>
              <w:bottom w:val="nil"/>
              <w:right w:val="single" w:color="auto" w:sz="4" w:space="0"/>
            </w:tcBorders>
            <w:shd w:val="clear" w:color="auto" w:fill="FFFFFF"/>
          </w:tcPr>
          <w:p w14:paraId="3A5ACE4A">
            <w:pPr>
              <w:widowControl w:val="0"/>
              <w:spacing w:after="120" w:line="320" w:lineRule="exact"/>
              <w:rPr>
                <w:bCs/>
                <w:sz w:val="26"/>
                <w:szCs w:val="26"/>
                <w:shd w:val="clear" w:color="auto" w:fill="FFFFFF"/>
                <w:lang w:eastAsia="vi-VN"/>
              </w:rPr>
            </w:pPr>
          </w:p>
        </w:tc>
        <w:tc>
          <w:tcPr>
            <w:tcW w:w="469" w:type="pct"/>
            <w:tcBorders>
              <w:top w:val="single" w:color="auto" w:sz="4" w:space="0"/>
              <w:left w:val="single" w:color="auto" w:sz="4" w:space="0"/>
              <w:bottom w:val="nil"/>
              <w:right w:val="single" w:color="auto" w:sz="4" w:space="0"/>
            </w:tcBorders>
            <w:shd w:val="clear" w:color="auto" w:fill="FFFFFF"/>
          </w:tcPr>
          <w:p w14:paraId="1095D498">
            <w:pPr>
              <w:widowControl w:val="0"/>
              <w:spacing w:after="120" w:line="320" w:lineRule="exact"/>
              <w:rPr>
                <w:bCs/>
                <w:sz w:val="26"/>
                <w:szCs w:val="26"/>
                <w:shd w:val="clear" w:color="auto" w:fill="FFFFFF"/>
                <w:lang w:eastAsia="vi-VN"/>
              </w:rPr>
            </w:pPr>
          </w:p>
        </w:tc>
        <w:tc>
          <w:tcPr>
            <w:tcW w:w="365" w:type="pct"/>
            <w:tcBorders>
              <w:top w:val="single" w:color="auto" w:sz="4" w:space="0"/>
              <w:left w:val="single" w:color="auto" w:sz="4" w:space="0"/>
              <w:bottom w:val="nil"/>
              <w:right w:val="nil"/>
            </w:tcBorders>
            <w:shd w:val="clear" w:color="auto" w:fill="FFFFFF"/>
          </w:tcPr>
          <w:p w14:paraId="5F09836A">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nil"/>
              <w:right w:val="nil"/>
            </w:tcBorders>
            <w:shd w:val="clear" w:color="auto" w:fill="FFFFFF"/>
          </w:tcPr>
          <w:p w14:paraId="0B035C31">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nil"/>
              <w:right w:val="single" w:color="auto" w:sz="4" w:space="0"/>
            </w:tcBorders>
            <w:shd w:val="clear" w:color="auto" w:fill="FFFFFF"/>
          </w:tcPr>
          <w:p w14:paraId="7BA5EF12">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nil"/>
              <w:right w:val="single" w:color="auto" w:sz="4" w:space="0"/>
            </w:tcBorders>
            <w:shd w:val="clear" w:color="auto" w:fill="FFFFFF"/>
          </w:tcPr>
          <w:p w14:paraId="1AF47FBF">
            <w:pPr>
              <w:widowControl w:val="0"/>
              <w:spacing w:after="120" w:line="320" w:lineRule="exact"/>
              <w:rPr>
                <w:bCs/>
                <w:sz w:val="26"/>
                <w:szCs w:val="26"/>
                <w:shd w:val="clear" w:color="auto" w:fill="FFFFFF"/>
                <w:lang w:eastAsia="vi-VN"/>
              </w:rPr>
            </w:pPr>
          </w:p>
        </w:tc>
      </w:tr>
      <w:tr w14:paraId="7963EA55">
        <w:tblPrEx>
          <w:tblCellMar>
            <w:top w:w="0" w:type="dxa"/>
            <w:left w:w="0" w:type="dxa"/>
            <w:bottom w:w="0" w:type="dxa"/>
            <w:right w:w="0" w:type="dxa"/>
          </w:tblCellMar>
        </w:tblPrEx>
        <w:trPr>
          <w:trHeight w:val="18" w:hRule="atLeast"/>
          <w:jc w:val="center"/>
        </w:trPr>
        <w:tc>
          <w:tcPr>
            <w:tcW w:w="264" w:type="pct"/>
            <w:tcBorders>
              <w:top w:val="single" w:color="auto" w:sz="4" w:space="0"/>
              <w:left w:val="single" w:color="auto" w:sz="4" w:space="0"/>
              <w:bottom w:val="single" w:color="auto" w:sz="4" w:space="0"/>
              <w:right w:val="nil"/>
            </w:tcBorders>
            <w:shd w:val="clear" w:color="auto" w:fill="FFFFFF"/>
            <w:vAlign w:val="center"/>
          </w:tcPr>
          <w:p w14:paraId="09E35C45">
            <w:pPr>
              <w:widowControl w:val="0"/>
              <w:spacing w:after="120" w:line="320" w:lineRule="exact"/>
              <w:rPr>
                <w:bCs/>
                <w:sz w:val="26"/>
                <w:szCs w:val="26"/>
                <w:shd w:val="clear" w:color="auto" w:fill="FFFFFF"/>
                <w:lang w:eastAsia="vi-VN"/>
              </w:rPr>
            </w:pPr>
            <w:r>
              <w:rPr>
                <w:bCs/>
                <w:sz w:val="26"/>
                <w:szCs w:val="26"/>
                <w:shd w:val="clear" w:color="auto" w:fill="FFFFFF"/>
                <w:lang w:eastAsia="vi-VN"/>
              </w:rPr>
              <w:t>n</w:t>
            </w:r>
          </w:p>
        </w:tc>
        <w:tc>
          <w:tcPr>
            <w:tcW w:w="572" w:type="pct"/>
            <w:tcBorders>
              <w:top w:val="single" w:color="auto" w:sz="4" w:space="0"/>
              <w:left w:val="single" w:color="auto" w:sz="4" w:space="0"/>
              <w:bottom w:val="single" w:color="auto" w:sz="4" w:space="0"/>
              <w:right w:val="nil"/>
            </w:tcBorders>
            <w:shd w:val="clear" w:color="auto" w:fill="FFFFFF"/>
          </w:tcPr>
          <w:p w14:paraId="72576EE6">
            <w:pPr>
              <w:widowControl w:val="0"/>
              <w:spacing w:after="120" w:line="320" w:lineRule="exact"/>
              <w:rPr>
                <w:bCs/>
                <w:sz w:val="26"/>
                <w:szCs w:val="26"/>
                <w:shd w:val="clear" w:color="auto" w:fill="FFFFFF"/>
                <w:lang w:eastAsia="vi-VN"/>
              </w:rPr>
            </w:pPr>
            <w:r>
              <w:rPr>
                <w:bCs/>
                <w:sz w:val="26"/>
                <w:szCs w:val="26"/>
                <w:shd w:val="clear" w:color="auto" w:fill="FFFFFF"/>
                <w:lang w:eastAsia="vi-VN"/>
              </w:rPr>
              <w:t>…</w:t>
            </w:r>
          </w:p>
        </w:tc>
        <w:tc>
          <w:tcPr>
            <w:tcW w:w="529" w:type="pct"/>
            <w:tcBorders>
              <w:top w:val="single" w:color="auto" w:sz="4" w:space="0"/>
              <w:left w:val="single" w:color="auto" w:sz="4" w:space="0"/>
              <w:bottom w:val="single" w:color="auto" w:sz="4" w:space="0"/>
              <w:right w:val="single" w:color="auto" w:sz="4" w:space="0"/>
            </w:tcBorders>
            <w:shd w:val="clear" w:color="auto" w:fill="FFFFFF"/>
          </w:tcPr>
          <w:p w14:paraId="1F46515D">
            <w:pPr>
              <w:widowControl w:val="0"/>
              <w:spacing w:after="120" w:line="320" w:lineRule="exact"/>
              <w:rPr>
                <w:bCs/>
                <w:sz w:val="26"/>
                <w:szCs w:val="26"/>
                <w:shd w:val="clear" w:color="auto" w:fill="FFFFFF"/>
                <w:lang w:eastAsia="vi-VN"/>
              </w:rPr>
            </w:pPr>
          </w:p>
        </w:tc>
        <w:tc>
          <w:tcPr>
            <w:tcW w:w="441" w:type="pct"/>
            <w:tcBorders>
              <w:top w:val="single" w:color="auto" w:sz="4" w:space="0"/>
              <w:left w:val="single" w:color="auto" w:sz="4" w:space="0"/>
              <w:bottom w:val="single" w:color="auto" w:sz="4" w:space="0"/>
              <w:right w:val="single" w:color="auto" w:sz="4" w:space="0"/>
            </w:tcBorders>
            <w:shd w:val="clear" w:color="auto" w:fill="FFFFFF"/>
          </w:tcPr>
          <w:p w14:paraId="67AC0E29">
            <w:pPr>
              <w:widowControl w:val="0"/>
              <w:spacing w:after="120" w:line="320" w:lineRule="exact"/>
              <w:rPr>
                <w:bCs/>
                <w:sz w:val="26"/>
                <w:szCs w:val="26"/>
                <w:shd w:val="clear" w:color="auto" w:fill="FFFFFF"/>
                <w:lang w:eastAsia="vi-VN"/>
              </w:rPr>
            </w:pPr>
          </w:p>
        </w:tc>
        <w:tc>
          <w:tcPr>
            <w:tcW w:w="382" w:type="pct"/>
            <w:tcBorders>
              <w:top w:val="single" w:color="auto" w:sz="4" w:space="0"/>
              <w:left w:val="single" w:color="auto" w:sz="4" w:space="0"/>
              <w:bottom w:val="single" w:color="auto" w:sz="4" w:space="0"/>
              <w:right w:val="nil"/>
            </w:tcBorders>
            <w:shd w:val="clear" w:color="auto" w:fill="FFFFFF"/>
          </w:tcPr>
          <w:p w14:paraId="4EA82FA2">
            <w:pPr>
              <w:widowControl w:val="0"/>
              <w:spacing w:after="120" w:line="320" w:lineRule="exact"/>
              <w:rPr>
                <w:bCs/>
                <w:sz w:val="26"/>
                <w:szCs w:val="26"/>
                <w:shd w:val="clear" w:color="auto" w:fill="FFFFFF"/>
                <w:lang w:eastAsia="vi-VN"/>
              </w:rPr>
            </w:pPr>
          </w:p>
        </w:tc>
        <w:tc>
          <w:tcPr>
            <w:tcW w:w="417" w:type="pct"/>
            <w:tcBorders>
              <w:top w:val="single" w:color="auto" w:sz="4" w:space="0"/>
              <w:left w:val="single" w:color="auto" w:sz="4" w:space="0"/>
              <w:bottom w:val="single" w:color="auto" w:sz="4" w:space="0"/>
              <w:right w:val="single" w:color="auto" w:sz="4" w:space="0"/>
            </w:tcBorders>
            <w:shd w:val="clear" w:color="auto" w:fill="FFFFFF"/>
          </w:tcPr>
          <w:p w14:paraId="0DC579EB">
            <w:pPr>
              <w:widowControl w:val="0"/>
              <w:spacing w:after="120" w:line="320" w:lineRule="exact"/>
              <w:rPr>
                <w:bCs/>
                <w:sz w:val="26"/>
                <w:szCs w:val="26"/>
                <w:shd w:val="clear" w:color="auto" w:fill="FFFFFF"/>
                <w:lang w:eastAsia="vi-VN"/>
              </w:rPr>
            </w:pPr>
          </w:p>
        </w:tc>
        <w:tc>
          <w:tcPr>
            <w:tcW w:w="469" w:type="pct"/>
            <w:tcBorders>
              <w:top w:val="single" w:color="auto" w:sz="4" w:space="0"/>
              <w:left w:val="single" w:color="auto" w:sz="4" w:space="0"/>
              <w:bottom w:val="single" w:color="auto" w:sz="4" w:space="0"/>
              <w:right w:val="single" w:color="auto" w:sz="4" w:space="0"/>
            </w:tcBorders>
            <w:shd w:val="clear" w:color="auto" w:fill="FFFFFF"/>
          </w:tcPr>
          <w:p w14:paraId="2538338B">
            <w:pPr>
              <w:widowControl w:val="0"/>
              <w:spacing w:after="120" w:line="320" w:lineRule="exact"/>
              <w:rPr>
                <w:bCs/>
                <w:sz w:val="26"/>
                <w:szCs w:val="26"/>
                <w:shd w:val="clear" w:color="auto" w:fill="FFFFFF"/>
                <w:lang w:eastAsia="vi-VN"/>
              </w:rPr>
            </w:pPr>
          </w:p>
        </w:tc>
        <w:tc>
          <w:tcPr>
            <w:tcW w:w="365" w:type="pct"/>
            <w:tcBorders>
              <w:top w:val="single" w:color="auto" w:sz="4" w:space="0"/>
              <w:left w:val="single" w:color="auto" w:sz="4" w:space="0"/>
              <w:bottom w:val="single" w:color="auto" w:sz="4" w:space="0"/>
              <w:right w:val="nil"/>
            </w:tcBorders>
            <w:shd w:val="clear" w:color="auto" w:fill="FFFFFF"/>
          </w:tcPr>
          <w:p w14:paraId="781E1F3A">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single" w:color="auto" w:sz="4" w:space="0"/>
              <w:right w:val="nil"/>
            </w:tcBorders>
            <w:shd w:val="clear" w:color="auto" w:fill="FFFFFF"/>
          </w:tcPr>
          <w:p w14:paraId="36A0FC11">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single" w:color="auto" w:sz="4" w:space="0"/>
              <w:right w:val="single" w:color="auto" w:sz="4" w:space="0"/>
            </w:tcBorders>
            <w:shd w:val="clear" w:color="auto" w:fill="FFFFFF"/>
          </w:tcPr>
          <w:p w14:paraId="2C8BB5C5">
            <w:pPr>
              <w:widowControl w:val="0"/>
              <w:spacing w:after="120" w:line="320" w:lineRule="exact"/>
              <w:rPr>
                <w:bCs/>
                <w:sz w:val="26"/>
                <w:szCs w:val="26"/>
                <w:shd w:val="clear" w:color="auto" w:fill="FFFFFF"/>
                <w:lang w:eastAsia="vi-VN"/>
              </w:rPr>
            </w:pPr>
          </w:p>
        </w:tc>
        <w:tc>
          <w:tcPr>
            <w:tcW w:w="521" w:type="pct"/>
            <w:tcBorders>
              <w:top w:val="single" w:color="auto" w:sz="4" w:space="0"/>
              <w:left w:val="single" w:color="auto" w:sz="4" w:space="0"/>
              <w:bottom w:val="single" w:color="auto" w:sz="4" w:space="0"/>
              <w:right w:val="single" w:color="auto" w:sz="4" w:space="0"/>
            </w:tcBorders>
            <w:shd w:val="clear" w:color="auto" w:fill="FFFFFF"/>
          </w:tcPr>
          <w:p w14:paraId="58F2E5BA">
            <w:pPr>
              <w:widowControl w:val="0"/>
              <w:spacing w:after="120" w:line="320" w:lineRule="exact"/>
              <w:rPr>
                <w:bCs/>
                <w:sz w:val="26"/>
                <w:szCs w:val="26"/>
                <w:shd w:val="clear" w:color="auto" w:fill="FFFFFF"/>
                <w:lang w:eastAsia="vi-VN"/>
              </w:rPr>
            </w:pPr>
          </w:p>
        </w:tc>
      </w:tr>
    </w:tbl>
    <w:p w14:paraId="2A3F0915">
      <w:pPr>
        <w:widowControl w:val="0"/>
        <w:spacing w:after="120" w:line="320" w:lineRule="exact"/>
        <w:jc w:val="both"/>
        <w:rPr>
          <w:bCs/>
          <w:i/>
          <w:iCs/>
          <w:szCs w:val="28"/>
          <w:shd w:val="clear" w:color="auto" w:fill="FFFFFF"/>
          <w:lang w:eastAsia="vi-VN"/>
        </w:rPr>
      </w:pPr>
      <w:r>
        <w:rPr>
          <w:bCs/>
          <w:i/>
          <w:iCs/>
          <w:szCs w:val="28"/>
          <w:shd w:val="clear" w:color="auto" w:fill="FFFFFF"/>
          <w:lang w:eastAsia="vi-VN"/>
        </w:rPr>
        <w:t xml:space="preserve">       </w:t>
      </w:r>
      <w:r>
        <w:rPr>
          <w:bCs/>
          <w:i/>
          <w:iCs/>
          <w:szCs w:val="28"/>
          <w:shd w:val="clear" w:color="auto" w:fill="FFFFFF"/>
          <w:lang w:eastAsia="vi-VN"/>
        </w:rPr>
        <w:tab/>
      </w:r>
      <w:r>
        <w:rPr>
          <w:bCs/>
          <w:i/>
          <w:iCs/>
          <w:szCs w:val="28"/>
          <w:shd w:val="clear" w:color="auto" w:fill="FFFFFF"/>
          <w:lang w:eastAsia="vi-VN"/>
        </w:rPr>
        <w:t xml:space="preserve">   </w:t>
      </w:r>
      <w:r>
        <w:rPr>
          <w:i/>
        </w:rPr>
        <w:t xml:space="preserve">Hãng sản xuất, nhà cung cấp: Gửi kèm theo các tài liệu chứng minh </w:t>
      </w:r>
      <w:r>
        <w:rPr>
          <w:i/>
          <w:lang w:val="en-US"/>
        </w:rPr>
        <w:t>giấy phép lưu hành sản phẩm</w:t>
      </w:r>
      <w:r>
        <w:rPr>
          <w:i/>
        </w:rPr>
        <w:t xml:space="preserve">, </w:t>
      </w:r>
      <w:r>
        <w:rPr>
          <w:i/>
          <w:lang w:val="en-US"/>
        </w:rPr>
        <w:t>tài liệu kỹ thuật,</w:t>
      </w:r>
      <w:r>
        <w:rPr>
          <w:i/>
        </w:rPr>
        <w:t xml:space="preserve"> </w:t>
      </w:r>
      <w:r>
        <w:rPr>
          <w:i/>
          <w:lang w:val="en-US"/>
        </w:rPr>
        <w:t xml:space="preserve">phiếu kiểm nghiệm, </w:t>
      </w:r>
      <w:r>
        <w:rPr>
          <w:i/>
        </w:rPr>
        <w:t xml:space="preserve">hợp đồng tương tự hoặc các tài liệu liên quan của </w:t>
      </w:r>
      <w:r>
        <w:rPr>
          <w:i/>
          <w:lang w:val="en-US"/>
        </w:rPr>
        <w:t>hàng hoá</w:t>
      </w:r>
      <w:r>
        <w:rPr>
          <w:i/>
        </w:rPr>
        <w:t xml:space="preserve"> (nếu có)</w:t>
      </w:r>
    </w:p>
    <w:p w14:paraId="0921AFF3">
      <w:pPr>
        <w:widowControl w:val="0"/>
        <w:spacing w:after="120" w:line="320" w:lineRule="exact"/>
        <w:ind w:firstLine="720"/>
        <w:jc w:val="both"/>
        <w:rPr>
          <w:szCs w:val="28"/>
          <w:lang w:val="en-US"/>
        </w:rPr>
      </w:pPr>
      <w:r>
        <w:rPr>
          <w:bCs/>
          <w:iCs/>
          <w:szCs w:val="28"/>
          <w:shd w:val="clear" w:color="auto" w:fill="FFFFFF"/>
          <w:lang w:eastAsia="vi-VN"/>
        </w:rPr>
        <w:t>2.</w:t>
      </w:r>
      <w:r>
        <w:rPr>
          <w:szCs w:val="28"/>
        </w:rPr>
        <w:t xml:space="preserve"> Báo giá đã bao gồm các loại thuế, phí, lệ phí (nếu có)…. Và các khoản chi phí khác có liên quan, bên mua không phải trả thêm bất kỳ khoản chi phí nào khác</w:t>
      </w:r>
      <w:r>
        <w:rPr>
          <w:szCs w:val="28"/>
          <w:lang w:val="en-US"/>
        </w:rPr>
        <w:t>.</w:t>
      </w:r>
    </w:p>
    <w:p w14:paraId="685CBE11">
      <w:pPr>
        <w:widowControl w:val="0"/>
        <w:spacing w:after="120" w:line="320" w:lineRule="exact"/>
        <w:ind w:firstLine="720"/>
        <w:jc w:val="both"/>
        <w:rPr>
          <w:szCs w:val="28"/>
        </w:rPr>
      </w:pPr>
      <w:r>
        <w:t xml:space="preserve">3. Hàng hóa mới 100%, </w:t>
      </w:r>
      <w:r>
        <w:rPr>
          <w:lang w:val="en-US"/>
        </w:rPr>
        <w:t xml:space="preserve">hạn sử dụng từ 12 tháng trở lên tại thời điểm </w:t>
      </w:r>
      <w:r>
        <w:t>bàn giao tại đơn vị sử dụng. Nhà cung cấp cam kết chất lượng sản phẩm theo tiêu chuẩn công bố của nhà sản xuất và chịu trách nhiệm đổi trả nếu phát hiện sản phẩm không đạt chất lượng hoặc hết hạn sử dụng</w:t>
      </w:r>
    </w:p>
    <w:p w14:paraId="6C67B47F">
      <w:pPr>
        <w:widowControl w:val="0"/>
        <w:spacing w:after="120" w:line="320" w:lineRule="exact"/>
        <w:ind w:firstLine="720"/>
        <w:jc w:val="both"/>
        <w:rPr>
          <w:bCs/>
          <w:szCs w:val="28"/>
          <w:shd w:val="clear" w:color="auto" w:fill="FFFFFF"/>
          <w:lang w:eastAsia="vi-VN"/>
        </w:rPr>
      </w:pPr>
      <w:r>
        <w:rPr>
          <w:bCs/>
          <w:szCs w:val="28"/>
          <w:shd w:val="clear" w:color="auto" w:fill="FFFFFF"/>
          <w:lang w:eastAsia="vi-VN"/>
        </w:rPr>
        <w:t xml:space="preserve">4. Báo giá này có hiệu lực trong vòng: 90 ngày, kể từ ngày </w:t>
      </w:r>
      <w:r>
        <w:rPr>
          <w:bCs/>
          <w:szCs w:val="28"/>
          <w:shd w:val="clear" w:color="auto" w:fill="FFFFFF"/>
          <w:lang w:val="en-US" w:eastAsia="vi-VN"/>
        </w:rPr>
        <w:t>25/8/2026</w:t>
      </w:r>
      <w:r>
        <w:rPr>
          <w:bCs/>
          <w:szCs w:val="28"/>
          <w:shd w:val="clear" w:color="auto" w:fill="FFFFFF"/>
          <w:lang w:eastAsia="vi-VN"/>
        </w:rPr>
        <w:t>.</w:t>
      </w:r>
    </w:p>
    <w:p w14:paraId="61846751">
      <w:pPr>
        <w:widowControl w:val="0"/>
        <w:spacing w:after="120" w:line="320" w:lineRule="exact"/>
        <w:ind w:firstLine="720"/>
        <w:jc w:val="both"/>
        <w:rPr>
          <w:bCs/>
          <w:i/>
          <w:iCs/>
          <w:szCs w:val="28"/>
          <w:shd w:val="clear" w:color="auto" w:fill="FFFFFF"/>
          <w:lang w:eastAsia="vi-VN"/>
        </w:rPr>
      </w:pPr>
      <w:r>
        <w:rPr>
          <w:bCs/>
          <w:szCs w:val="28"/>
          <w:shd w:val="clear" w:color="auto" w:fill="FFFFFF"/>
          <w:lang w:eastAsia="vi-VN"/>
        </w:rPr>
        <w:t>5. Chúng tôi cam kết:</w:t>
      </w:r>
    </w:p>
    <w:p w14:paraId="2F7C7FF2">
      <w:pPr>
        <w:widowControl w:val="0"/>
        <w:spacing w:after="120" w:line="320" w:lineRule="exact"/>
        <w:ind w:firstLine="720"/>
        <w:jc w:val="both"/>
        <w:rPr>
          <w:bCs/>
          <w:szCs w:val="28"/>
          <w:shd w:val="clear" w:color="auto" w:fill="FFFFFF"/>
          <w:lang w:eastAsia="vi-VN"/>
        </w:rPr>
      </w:pPr>
      <w:r>
        <w:rPr>
          <w:bCs/>
          <w:szCs w:val="28"/>
          <w:shd w:val="clear" w:color="auto" w:fill="FFFFFF"/>
          <w:lang w:eastAsia="vi-VN"/>
        </w:rPr>
        <w:t>- Chịu trách nhiệm về việc cung cấp thông tin về giá của hàng hóa, dịch vụ phù hợp với khả năng cung cấp của mình và bảo đảm việc cung cấp báo giá không vi phạm quy định của pháp luật về cạnh tranh, bán phá giá hoặc nâng khống giá.</w:t>
      </w:r>
    </w:p>
    <w:p w14:paraId="56452182">
      <w:pPr>
        <w:widowControl w:val="0"/>
        <w:spacing w:after="120" w:line="320" w:lineRule="exact"/>
        <w:ind w:firstLine="720"/>
        <w:jc w:val="both"/>
        <w:rPr>
          <w:bCs/>
          <w:szCs w:val="28"/>
          <w:shd w:val="clear" w:color="auto" w:fill="FFFFFF"/>
          <w:lang w:eastAsia="vi-VN"/>
        </w:rPr>
      </w:pPr>
      <w:r>
        <w:rPr>
          <w:bCs/>
          <w:szCs w:val="28"/>
          <w:shd w:val="clear" w:color="auto" w:fill="FFFFFF"/>
          <w:lang w:eastAsia="vi-VN"/>
        </w:rPr>
        <w:t>- 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352353B7">
      <w:pPr>
        <w:widowControl w:val="0"/>
        <w:spacing w:after="0" w:line="240" w:lineRule="auto"/>
        <w:jc w:val="center"/>
        <w:rPr>
          <w:bCs/>
          <w:szCs w:val="28"/>
          <w:shd w:val="clear" w:color="auto" w:fill="FFFFFF"/>
          <w:lang w:eastAsia="vi-VN"/>
        </w:rPr>
      </w:pPr>
      <w:r>
        <w:rPr>
          <w:bCs/>
          <w:i/>
          <w:iCs/>
          <w:szCs w:val="28"/>
          <w:shd w:val="clear" w:color="auto" w:fill="FFFFFF"/>
          <w:lang w:val="en-US" w:eastAsia="vi-VN"/>
        </w:rPr>
        <w:t xml:space="preserve">                                                                                                                 </w:t>
      </w:r>
      <w:r>
        <w:rPr>
          <w:bCs/>
          <w:i/>
          <w:iCs/>
          <w:szCs w:val="28"/>
          <w:shd w:val="clear" w:color="auto" w:fill="FFFFFF"/>
          <w:lang w:eastAsia="vi-VN"/>
        </w:rPr>
        <w:t>…., ngày.... tháng....năm....</w:t>
      </w:r>
    </w:p>
    <w:p w14:paraId="274F6501">
      <w:pPr>
        <w:widowControl w:val="0"/>
        <w:spacing w:after="0" w:line="240" w:lineRule="auto"/>
        <w:jc w:val="right"/>
        <w:rPr>
          <w:b/>
          <w:bCs/>
          <w:i/>
          <w:iCs/>
          <w:szCs w:val="28"/>
          <w:shd w:val="clear" w:color="auto" w:fill="FFFFFF"/>
          <w:lang w:eastAsia="vi-VN"/>
        </w:rPr>
      </w:pPr>
      <w:r>
        <w:rPr>
          <w:b/>
          <w:bCs/>
          <w:szCs w:val="28"/>
          <w:shd w:val="clear" w:color="auto" w:fill="FFFFFF"/>
          <w:lang w:eastAsia="vi-VN"/>
        </w:rPr>
        <w:t>Đại diện hợp pháp của hãng sản xuất, nhà cung cấp</w:t>
      </w:r>
      <w:r>
        <w:rPr>
          <w:b/>
          <w:bCs/>
          <w:szCs w:val="28"/>
          <w:shd w:val="clear" w:color="auto" w:fill="FFFFFF"/>
          <w:vertAlign w:val="superscript"/>
          <w:lang w:eastAsia="vi-VN"/>
        </w:rPr>
        <w:t>(12)</w:t>
      </w:r>
    </w:p>
    <w:p w14:paraId="2BE2A2D1">
      <w:pPr>
        <w:widowControl w:val="0"/>
        <w:spacing w:after="0" w:line="240" w:lineRule="auto"/>
        <w:jc w:val="center"/>
        <w:rPr>
          <w:szCs w:val="28"/>
        </w:rPr>
      </w:pPr>
      <w:r>
        <w:rPr>
          <w:bCs/>
          <w:szCs w:val="28"/>
          <w:shd w:val="clear" w:color="auto" w:fill="FFFFFF"/>
          <w:lang w:val="en-US" w:eastAsia="vi-VN"/>
        </w:rPr>
        <w:t xml:space="preserve">                                                                                                                  </w:t>
      </w:r>
      <w:r>
        <w:rPr>
          <w:bCs/>
          <w:szCs w:val="28"/>
          <w:shd w:val="clear" w:color="auto" w:fill="FFFFFF"/>
          <w:lang w:eastAsia="vi-VN"/>
        </w:rPr>
        <w:t>(Ký tên, đóng dấu (nếu có))</w:t>
      </w:r>
      <w:bookmarkEnd w:id="0"/>
      <w:bookmarkEnd w:id="1"/>
    </w:p>
    <w:p w14:paraId="73343F8A">
      <w:pPr>
        <w:widowControl w:val="0"/>
        <w:spacing w:after="0" w:line="240" w:lineRule="auto"/>
        <w:jc w:val="center"/>
        <w:rPr>
          <w:szCs w:val="28"/>
        </w:rPr>
      </w:pPr>
    </w:p>
    <w:sectPr>
      <w:pgSz w:w="16838" w:h="11906" w:orient="landscape"/>
      <w:pgMar w:top="1134" w:right="1134" w:bottom="851" w:left="1701" w:header="709" w:footer="709" w:gutter="0"/>
      <w:cols w:space="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alibri">
    <w:panose1 w:val="020F0502020204030204"/>
    <w:charset w:val="A3"/>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A3"/>
    <w:family w:val="swiss"/>
    <w:pitch w:val="default"/>
    <w:sig w:usb0="E4002EFF" w:usb1="C200247B" w:usb2="00000009" w:usb3="00000000" w:csb0="200001FF" w:csb1="00000000"/>
  </w:font>
  <w:font w:name="Segoe UI">
    <w:panose1 w:val="020B0502040204020203"/>
    <w:charset w:val="A3"/>
    <w:family w:val="swiss"/>
    <w:pitch w:val="default"/>
    <w:sig w:usb0="E4002EFF" w:usb1="C000E47F" w:usb2="00000009" w:usb3="00000000" w:csb0="200001FF" w:csb1="00000000"/>
  </w:font>
  <w:font w:name="Times New Roman Bold">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07BD">
    <w:pPr>
      <w:pStyle w:val="7"/>
      <w:rPr>
        <w:i/>
        <w:iCs/>
        <w:sz w:val="24"/>
        <w:szCs w:val="24"/>
      </w:rPr>
    </w:pPr>
    <w:r>
      <w:rPr>
        <w:i/>
        <w:iCs/>
        <w:sz w:val="24"/>
        <w:szCs w:val="24"/>
        <w:lang w:val="en-US"/>
      </w:rPr>
      <w:t>Thư mời báo giá đăng tại địa chỉ https://bvdkbacninh.vn/tin-tuc/thu-moi-bao-gia</w:t>
    </w:r>
  </w:p>
  <w:p w14:paraId="6A0DD757">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55C"/>
    <w:rsid w:val="00013E97"/>
    <w:rsid w:val="00021B1E"/>
    <w:rsid w:val="000361F2"/>
    <w:rsid w:val="00042048"/>
    <w:rsid w:val="00050F4C"/>
    <w:rsid w:val="00053CDF"/>
    <w:rsid w:val="00063FDA"/>
    <w:rsid w:val="00065343"/>
    <w:rsid w:val="00067BBD"/>
    <w:rsid w:val="00070B40"/>
    <w:rsid w:val="00074BBA"/>
    <w:rsid w:val="000778EE"/>
    <w:rsid w:val="000921EF"/>
    <w:rsid w:val="00096AD3"/>
    <w:rsid w:val="000A032B"/>
    <w:rsid w:val="000A4502"/>
    <w:rsid w:val="000A4B03"/>
    <w:rsid w:val="000A5EA8"/>
    <w:rsid w:val="000B6837"/>
    <w:rsid w:val="000B7260"/>
    <w:rsid w:val="000C2F09"/>
    <w:rsid w:val="000C5EA6"/>
    <w:rsid w:val="000C7570"/>
    <w:rsid w:val="000C77FA"/>
    <w:rsid w:val="000D02C4"/>
    <w:rsid w:val="000D1E56"/>
    <w:rsid w:val="000D7E8C"/>
    <w:rsid w:val="000E0A85"/>
    <w:rsid w:val="000F3033"/>
    <w:rsid w:val="001008A1"/>
    <w:rsid w:val="0010202A"/>
    <w:rsid w:val="0011423B"/>
    <w:rsid w:val="001157EE"/>
    <w:rsid w:val="0011799A"/>
    <w:rsid w:val="001223B1"/>
    <w:rsid w:val="00126193"/>
    <w:rsid w:val="001353AC"/>
    <w:rsid w:val="00142F5C"/>
    <w:rsid w:val="001516DF"/>
    <w:rsid w:val="001522DB"/>
    <w:rsid w:val="001524B9"/>
    <w:rsid w:val="001668C4"/>
    <w:rsid w:val="00170540"/>
    <w:rsid w:val="001717F3"/>
    <w:rsid w:val="0017274B"/>
    <w:rsid w:val="00181E54"/>
    <w:rsid w:val="001852EE"/>
    <w:rsid w:val="00185426"/>
    <w:rsid w:val="00187FFC"/>
    <w:rsid w:val="001961E5"/>
    <w:rsid w:val="001A7416"/>
    <w:rsid w:val="001C0005"/>
    <w:rsid w:val="001C403F"/>
    <w:rsid w:val="001D260B"/>
    <w:rsid w:val="001D3979"/>
    <w:rsid w:val="001D593D"/>
    <w:rsid w:val="001E55C0"/>
    <w:rsid w:val="001F0B40"/>
    <w:rsid w:val="002041E5"/>
    <w:rsid w:val="0020476E"/>
    <w:rsid w:val="0021228D"/>
    <w:rsid w:val="0021422E"/>
    <w:rsid w:val="002162E8"/>
    <w:rsid w:val="00241ABC"/>
    <w:rsid w:val="002715DC"/>
    <w:rsid w:val="00276DEA"/>
    <w:rsid w:val="002A348B"/>
    <w:rsid w:val="002A476C"/>
    <w:rsid w:val="002A4BCE"/>
    <w:rsid w:val="002A6C2C"/>
    <w:rsid w:val="002B2EF9"/>
    <w:rsid w:val="002B6272"/>
    <w:rsid w:val="002C0CD2"/>
    <w:rsid w:val="002C4022"/>
    <w:rsid w:val="002C4468"/>
    <w:rsid w:val="002D3C4D"/>
    <w:rsid w:val="002F0600"/>
    <w:rsid w:val="002F0ECB"/>
    <w:rsid w:val="002F16E3"/>
    <w:rsid w:val="00313611"/>
    <w:rsid w:val="00313C78"/>
    <w:rsid w:val="00316AFB"/>
    <w:rsid w:val="00317EE9"/>
    <w:rsid w:val="003209BD"/>
    <w:rsid w:val="003245A7"/>
    <w:rsid w:val="00325CE1"/>
    <w:rsid w:val="0033018D"/>
    <w:rsid w:val="00333A4E"/>
    <w:rsid w:val="00352CB6"/>
    <w:rsid w:val="003628F3"/>
    <w:rsid w:val="00372E19"/>
    <w:rsid w:val="00375B57"/>
    <w:rsid w:val="00382E32"/>
    <w:rsid w:val="00390E12"/>
    <w:rsid w:val="003A07E9"/>
    <w:rsid w:val="003A7A80"/>
    <w:rsid w:val="003B59EF"/>
    <w:rsid w:val="003C2724"/>
    <w:rsid w:val="003C463E"/>
    <w:rsid w:val="003C51FE"/>
    <w:rsid w:val="003C7871"/>
    <w:rsid w:val="003D1247"/>
    <w:rsid w:val="003E4BD5"/>
    <w:rsid w:val="003F60A4"/>
    <w:rsid w:val="00400D09"/>
    <w:rsid w:val="004065DD"/>
    <w:rsid w:val="00411D12"/>
    <w:rsid w:val="00412188"/>
    <w:rsid w:val="004130B7"/>
    <w:rsid w:val="004231CB"/>
    <w:rsid w:val="00432279"/>
    <w:rsid w:val="00432951"/>
    <w:rsid w:val="00433E0E"/>
    <w:rsid w:val="00445A97"/>
    <w:rsid w:val="00465DF2"/>
    <w:rsid w:val="0048133A"/>
    <w:rsid w:val="00482FC9"/>
    <w:rsid w:val="004925D5"/>
    <w:rsid w:val="004954F1"/>
    <w:rsid w:val="004A6E37"/>
    <w:rsid w:val="004B72C2"/>
    <w:rsid w:val="004B7A86"/>
    <w:rsid w:val="004C3148"/>
    <w:rsid w:val="004C6432"/>
    <w:rsid w:val="004D310D"/>
    <w:rsid w:val="004E0328"/>
    <w:rsid w:val="004E31DA"/>
    <w:rsid w:val="004E6323"/>
    <w:rsid w:val="004F1C2A"/>
    <w:rsid w:val="0056305E"/>
    <w:rsid w:val="00565314"/>
    <w:rsid w:val="00570132"/>
    <w:rsid w:val="00573DCF"/>
    <w:rsid w:val="00574EEA"/>
    <w:rsid w:val="00590309"/>
    <w:rsid w:val="0059116E"/>
    <w:rsid w:val="00592DDD"/>
    <w:rsid w:val="00595634"/>
    <w:rsid w:val="00596201"/>
    <w:rsid w:val="005A4580"/>
    <w:rsid w:val="005A5335"/>
    <w:rsid w:val="005A7F8C"/>
    <w:rsid w:val="005B40DD"/>
    <w:rsid w:val="005C3964"/>
    <w:rsid w:val="005C4AFD"/>
    <w:rsid w:val="005C4DBE"/>
    <w:rsid w:val="005D14F6"/>
    <w:rsid w:val="005E29C0"/>
    <w:rsid w:val="005E44F8"/>
    <w:rsid w:val="005E54B9"/>
    <w:rsid w:val="005E62F1"/>
    <w:rsid w:val="00600FCA"/>
    <w:rsid w:val="0060476B"/>
    <w:rsid w:val="0061713C"/>
    <w:rsid w:val="00621BC2"/>
    <w:rsid w:val="00624CCD"/>
    <w:rsid w:val="0062720A"/>
    <w:rsid w:val="006277F8"/>
    <w:rsid w:val="00641A8F"/>
    <w:rsid w:val="00653D00"/>
    <w:rsid w:val="0065417F"/>
    <w:rsid w:val="006601F5"/>
    <w:rsid w:val="00663AA4"/>
    <w:rsid w:val="00665AA8"/>
    <w:rsid w:val="00667561"/>
    <w:rsid w:val="00671630"/>
    <w:rsid w:val="00673C93"/>
    <w:rsid w:val="006750E6"/>
    <w:rsid w:val="0067623D"/>
    <w:rsid w:val="0067770F"/>
    <w:rsid w:val="00677943"/>
    <w:rsid w:val="0068176A"/>
    <w:rsid w:val="00681BD9"/>
    <w:rsid w:val="006833F3"/>
    <w:rsid w:val="00686B93"/>
    <w:rsid w:val="00687EDF"/>
    <w:rsid w:val="006A3F6E"/>
    <w:rsid w:val="006A74F5"/>
    <w:rsid w:val="006A76CA"/>
    <w:rsid w:val="006B6B46"/>
    <w:rsid w:val="006B6D1E"/>
    <w:rsid w:val="006C35F2"/>
    <w:rsid w:val="006C5866"/>
    <w:rsid w:val="006C61D1"/>
    <w:rsid w:val="006D1788"/>
    <w:rsid w:val="006D73F4"/>
    <w:rsid w:val="006E0232"/>
    <w:rsid w:val="006E16A2"/>
    <w:rsid w:val="006E4C8C"/>
    <w:rsid w:val="006F585E"/>
    <w:rsid w:val="006F5BC5"/>
    <w:rsid w:val="00713AFF"/>
    <w:rsid w:val="007240C4"/>
    <w:rsid w:val="007316DD"/>
    <w:rsid w:val="007443FD"/>
    <w:rsid w:val="00744884"/>
    <w:rsid w:val="00756CAF"/>
    <w:rsid w:val="0076236F"/>
    <w:rsid w:val="00762A9E"/>
    <w:rsid w:val="007719F0"/>
    <w:rsid w:val="00777365"/>
    <w:rsid w:val="0078060A"/>
    <w:rsid w:val="00780B07"/>
    <w:rsid w:val="00781EA0"/>
    <w:rsid w:val="00782E0F"/>
    <w:rsid w:val="007B155F"/>
    <w:rsid w:val="007B3041"/>
    <w:rsid w:val="007B790F"/>
    <w:rsid w:val="007D43EE"/>
    <w:rsid w:val="007D505F"/>
    <w:rsid w:val="007E6CB5"/>
    <w:rsid w:val="00806509"/>
    <w:rsid w:val="008065C3"/>
    <w:rsid w:val="0081206F"/>
    <w:rsid w:val="0082286C"/>
    <w:rsid w:val="00822E04"/>
    <w:rsid w:val="0083068D"/>
    <w:rsid w:val="00837E57"/>
    <w:rsid w:val="00846B13"/>
    <w:rsid w:val="0084700F"/>
    <w:rsid w:val="00866B65"/>
    <w:rsid w:val="00867198"/>
    <w:rsid w:val="00870BA5"/>
    <w:rsid w:val="008813EF"/>
    <w:rsid w:val="008825DF"/>
    <w:rsid w:val="00886A07"/>
    <w:rsid w:val="008A6039"/>
    <w:rsid w:val="008B19A7"/>
    <w:rsid w:val="008B36C0"/>
    <w:rsid w:val="008B50E3"/>
    <w:rsid w:val="008B5BFE"/>
    <w:rsid w:val="008C483D"/>
    <w:rsid w:val="008D0549"/>
    <w:rsid w:val="008E2CC9"/>
    <w:rsid w:val="008E4DAF"/>
    <w:rsid w:val="008E7C70"/>
    <w:rsid w:val="008F05A5"/>
    <w:rsid w:val="008F1C2E"/>
    <w:rsid w:val="00904530"/>
    <w:rsid w:val="00914D1E"/>
    <w:rsid w:val="00916A02"/>
    <w:rsid w:val="00916F32"/>
    <w:rsid w:val="009261F2"/>
    <w:rsid w:val="00936972"/>
    <w:rsid w:val="00937D9D"/>
    <w:rsid w:val="009460F8"/>
    <w:rsid w:val="00957982"/>
    <w:rsid w:val="009635E8"/>
    <w:rsid w:val="009800EA"/>
    <w:rsid w:val="00980D63"/>
    <w:rsid w:val="00981E17"/>
    <w:rsid w:val="00982ABE"/>
    <w:rsid w:val="009927F3"/>
    <w:rsid w:val="009A35B4"/>
    <w:rsid w:val="009A6675"/>
    <w:rsid w:val="009B1E5C"/>
    <w:rsid w:val="009B39EB"/>
    <w:rsid w:val="009B72B1"/>
    <w:rsid w:val="009D61A1"/>
    <w:rsid w:val="009E7641"/>
    <w:rsid w:val="009F442F"/>
    <w:rsid w:val="009F4DC8"/>
    <w:rsid w:val="00A02B60"/>
    <w:rsid w:val="00A037E5"/>
    <w:rsid w:val="00A05B8E"/>
    <w:rsid w:val="00A10FCA"/>
    <w:rsid w:val="00A13709"/>
    <w:rsid w:val="00A16507"/>
    <w:rsid w:val="00A31235"/>
    <w:rsid w:val="00A31ACF"/>
    <w:rsid w:val="00A45AFD"/>
    <w:rsid w:val="00A576D1"/>
    <w:rsid w:val="00A6778F"/>
    <w:rsid w:val="00AA3E44"/>
    <w:rsid w:val="00AA601B"/>
    <w:rsid w:val="00AA6333"/>
    <w:rsid w:val="00AA7EE7"/>
    <w:rsid w:val="00AC28A8"/>
    <w:rsid w:val="00AC34B7"/>
    <w:rsid w:val="00AC43D0"/>
    <w:rsid w:val="00AC5BE3"/>
    <w:rsid w:val="00AD10E7"/>
    <w:rsid w:val="00AD252B"/>
    <w:rsid w:val="00AD3FAA"/>
    <w:rsid w:val="00AD5391"/>
    <w:rsid w:val="00AD5781"/>
    <w:rsid w:val="00AE6B08"/>
    <w:rsid w:val="00AE6DDE"/>
    <w:rsid w:val="00AE73E3"/>
    <w:rsid w:val="00AE7907"/>
    <w:rsid w:val="00AF3525"/>
    <w:rsid w:val="00AF6E82"/>
    <w:rsid w:val="00AF7B18"/>
    <w:rsid w:val="00B00A2D"/>
    <w:rsid w:val="00B0158A"/>
    <w:rsid w:val="00B06933"/>
    <w:rsid w:val="00B11F75"/>
    <w:rsid w:val="00B12796"/>
    <w:rsid w:val="00B23E46"/>
    <w:rsid w:val="00B34723"/>
    <w:rsid w:val="00B34FBB"/>
    <w:rsid w:val="00B358F4"/>
    <w:rsid w:val="00B54555"/>
    <w:rsid w:val="00B617E2"/>
    <w:rsid w:val="00B62A4F"/>
    <w:rsid w:val="00B76F20"/>
    <w:rsid w:val="00B8266B"/>
    <w:rsid w:val="00B85846"/>
    <w:rsid w:val="00BA51BA"/>
    <w:rsid w:val="00BB4D4E"/>
    <w:rsid w:val="00BB4E09"/>
    <w:rsid w:val="00BB7810"/>
    <w:rsid w:val="00BC0810"/>
    <w:rsid w:val="00BC5F79"/>
    <w:rsid w:val="00BD0C92"/>
    <w:rsid w:val="00BE5E62"/>
    <w:rsid w:val="00BF0495"/>
    <w:rsid w:val="00BF2EF0"/>
    <w:rsid w:val="00BF32C7"/>
    <w:rsid w:val="00C03253"/>
    <w:rsid w:val="00C13057"/>
    <w:rsid w:val="00C134BA"/>
    <w:rsid w:val="00C21514"/>
    <w:rsid w:val="00C251F3"/>
    <w:rsid w:val="00C36211"/>
    <w:rsid w:val="00C37DE4"/>
    <w:rsid w:val="00C41D6F"/>
    <w:rsid w:val="00C47B8F"/>
    <w:rsid w:val="00C551E4"/>
    <w:rsid w:val="00C61D63"/>
    <w:rsid w:val="00C66BC7"/>
    <w:rsid w:val="00C83D09"/>
    <w:rsid w:val="00C86CA2"/>
    <w:rsid w:val="00C928EB"/>
    <w:rsid w:val="00C9422C"/>
    <w:rsid w:val="00C947D4"/>
    <w:rsid w:val="00CA68C2"/>
    <w:rsid w:val="00CB0DF5"/>
    <w:rsid w:val="00CB2C86"/>
    <w:rsid w:val="00CB6AA3"/>
    <w:rsid w:val="00CF4545"/>
    <w:rsid w:val="00CF6651"/>
    <w:rsid w:val="00D035C5"/>
    <w:rsid w:val="00D06CE4"/>
    <w:rsid w:val="00D0713C"/>
    <w:rsid w:val="00D205C7"/>
    <w:rsid w:val="00D229A0"/>
    <w:rsid w:val="00D271D5"/>
    <w:rsid w:val="00D414C2"/>
    <w:rsid w:val="00D43B56"/>
    <w:rsid w:val="00D43CFF"/>
    <w:rsid w:val="00D55B0E"/>
    <w:rsid w:val="00D55CC7"/>
    <w:rsid w:val="00D65180"/>
    <w:rsid w:val="00D67AC3"/>
    <w:rsid w:val="00D73FFE"/>
    <w:rsid w:val="00D76666"/>
    <w:rsid w:val="00D8648D"/>
    <w:rsid w:val="00D9091C"/>
    <w:rsid w:val="00D90DA6"/>
    <w:rsid w:val="00D91929"/>
    <w:rsid w:val="00D92007"/>
    <w:rsid w:val="00D9505F"/>
    <w:rsid w:val="00D97569"/>
    <w:rsid w:val="00DA7303"/>
    <w:rsid w:val="00DB24F3"/>
    <w:rsid w:val="00DB505D"/>
    <w:rsid w:val="00DB54A8"/>
    <w:rsid w:val="00DC081E"/>
    <w:rsid w:val="00DC2963"/>
    <w:rsid w:val="00DC4D4E"/>
    <w:rsid w:val="00DD12EF"/>
    <w:rsid w:val="00DD187A"/>
    <w:rsid w:val="00DF0417"/>
    <w:rsid w:val="00DF1C11"/>
    <w:rsid w:val="00DF6942"/>
    <w:rsid w:val="00E06CAD"/>
    <w:rsid w:val="00E127A2"/>
    <w:rsid w:val="00E14BE1"/>
    <w:rsid w:val="00E153C8"/>
    <w:rsid w:val="00E3355C"/>
    <w:rsid w:val="00E428AC"/>
    <w:rsid w:val="00E429C8"/>
    <w:rsid w:val="00E4350E"/>
    <w:rsid w:val="00E44C27"/>
    <w:rsid w:val="00E45973"/>
    <w:rsid w:val="00E5621E"/>
    <w:rsid w:val="00E57BC5"/>
    <w:rsid w:val="00E61870"/>
    <w:rsid w:val="00E71843"/>
    <w:rsid w:val="00E719D8"/>
    <w:rsid w:val="00E71D38"/>
    <w:rsid w:val="00E832FD"/>
    <w:rsid w:val="00E83DCD"/>
    <w:rsid w:val="00E947ED"/>
    <w:rsid w:val="00EA39C2"/>
    <w:rsid w:val="00EA48A7"/>
    <w:rsid w:val="00EA4C4D"/>
    <w:rsid w:val="00EB0E41"/>
    <w:rsid w:val="00EB171B"/>
    <w:rsid w:val="00EB685B"/>
    <w:rsid w:val="00EE3201"/>
    <w:rsid w:val="00EE5126"/>
    <w:rsid w:val="00F02D80"/>
    <w:rsid w:val="00F03135"/>
    <w:rsid w:val="00F0541C"/>
    <w:rsid w:val="00F32022"/>
    <w:rsid w:val="00F418E8"/>
    <w:rsid w:val="00F4534D"/>
    <w:rsid w:val="00F52EEC"/>
    <w:rsid w:val="00F61816"/>
    <w:rsid w:val="00F6441B"/>
    <w:rsid w:val="00F70984"/>
    <w:rsid w:val="00F73FE0"/>
    <w:rsid w:val="00F825DB"/>
    <w:rsid w:val="00F96CA6"/>
    <w:rsid w:val="00FA0739"/>
    <w:rsid w:val="00FB27D1"/>
    <w:rsid w:val="00FC235D"/>
    <w:rsid w:val="00FD4113"/>
    <w:rsid w:val="00FF4DA7"/>
    <w:rsid w:val="03370B50"/>
    <w:rsid w:val="0DE7280E"/>
    <w:rsid w:val="1C747609"/>
    <w:rsid w:val="2B325569"/>
    <w:rsid w:val="34C07461"/>
    <w:rsid w:val="3A1E4258"/>
    <w:rsid w:val="3D5C5B3B"/>
    <w:rsid w:val="42D20F8E"/>
    <w:rsid w:val="45340EE7"/>
    <w:rsid w:val="458950D3"/>
    <w:rsid w:val="462E524B"/>
    <w:rsid w:val="476E6000"/>
    <w:rsid w:val="48012F0A"/>
    <w:rsid w:val="4D2A765B"/>
    <w:rsid w:val="4E6C24A4"/>
    <w:rsid w:val="4F875BF3"/>
    <w:rsid w:val="579052B4"/>
    <w:rsid w:val="57E13971"/>
    <w:rsid w:val="5DB157C4"/>
    <w:rsid w:val="5E077084"/>
    <w:rsid w:val="63C9144F"/>
    <w:rsid w:val="64E217CD"/>
    <w:rsid w:val="6F4962C5"/>
    <w:rsid w:val="703F2B19"/>
    <w:rsid w:val="766338B2"/>
    <w:rsid w:val="79600377"/>
    <w:rsid w:val="7AC93DA9"/>
    <w:rsid w:val="7C29739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8"/>
      <w:szCs w:val="22"/>
      <w:lang w:val="vi-VN" w:eastAsia="en-US" w:bidi="ar-SA"/>
    </w:rPr>
  </w:style>
  <w:style w:type="paragraph" w:styleId="2">
    <w:name w:val="heading 1"/>
    <w:basedOn w:val="1"/>
    <w:next w:val="1"/>
    <w:link w:val="20"/>
    <w:qFormat/>
    <w:uiPriority w:val="0"/>
    <w:pPr>
      <w:keepNext/>
      <w:spacing w:before="240" w:after="60" w:line="240" w:lineRule="auto"/>
      <w:outlineLvl w:val="0"/>
    </w:pPr>
    <w:rPr>
      <w:rFonts w:ascii="Calibri Light" w:hAnsi="Calibri Light" w:eastAsia="Times New Roman" w:cs="Times New Roman"/>
      <w:b/>
      <w:bCs/>
      <w:kern w:val="32"/>
      <w:sz w:val="32"/>
      <w:szCs w:val="32"/>
      <w:lang w:val="en-US"/>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4"/>
    <w:semiHidden/>
    <w:unhideWhenUsed/>
    <w:qFormat/>
    <w:uiPriority w:val="99"/>
    <w:pPr>
      <w:spacing w:after="0" w:line="240" w:lineRule="auto"/>
    </w:pPr>
    <w:rPr>
      <w:rFonts w:ascii="Segoe UI" w:hAnsi="Segoe UI" w:cs="Segoe UI"/>
      <w:sz w:val="18"/>
      <w:szCs w:val="18"/>
    </w:rPr>
  </w:style>
  <w:style w:type="character" w:styleId="6">
    <w:name w:val="Emphasis"/>
    <w:qFormat/>
    <w:uiPriority w:val="20"/>
    <w:rPr>
      <w:i/>
      <w:iCs/>
    </w:rPr>
  </w:style>
  <w:style w:type="paragraph" w:styleId="7">
    <w:name w:val="footer"/>
    <w:basedOn w:val="1"/>
    <w:link w:val="13"/>
    <w:unhideWhenUsed/>
    <w:qFormat/>
    <w:uiPriority w:val="99"/>
    <w:pPr>
      <w:tabs>
        <w:tab w:val="center" w:pos="4513"/>
        <w:tab w:val="right" w:pos="9026"/>
      </w:tabs>
      <w:spacing w:after="0" w:line="240" w:lineRule="auto"/>
    </w:pPr>
  </w:style>
  <w:style w:type="paragraph" w:styleId="8">
    <w:name w:val="header"/>
    <w:basedOn w:val="1"/>
    <w:link w:val="21"/>
    <w:unhideWhenUsed/>
    <w:uiPriority w:val="99"/>
    <w:pPr>
      <w:tabs>
        <w:tab w:val="center" w:pos="4680"/>
        <w:tab w:val="right" w:pos="9360"/>
      </w:tabs>
      <w:spacing w:after="0" w:line="240" w:lineRule="auto"/>
    </w:pPr>
  </w:style>
  <w:style w:type="character" w:styleId="9">
    <w:name w:val="Hyperlink"/>
    <w:basedOn w:val="3"/>
    <w:unhideWhenUsed/>
    <w:qFormat/>
    <w:uiPriority w:val="99"/>
    <w:rPr>
      <w:color w:val="0563C1" w:themeColor="hyperlink"/>
      <w:u w:val="single"/>
      <w14:textFill>
        <w14:solidFill>
          <w14:schemeClr w14:val="hlink"/>
        </w14:solidFill>
      </w14:textFill>
    </w:rPr>
  </w:style>
  <w:style w:type="paragraph" w:styleId="10">
    <w:name w:val="Normal (Web)"/>
    <w:basedOn w:val="1"/>
    <w:unhideWhenUsed/>
    <w:qFormat/>
    <w:uiPriority w:val="99"/>
    <w:pPr>
      <w:spacing w:before="100" w:beforeAutospacing="1" w:after="100" w:afterAutospacing="1" w:line="240" w:lineRule="auto"/>
    </w:pPr>
    <w:rPr>
      <w:rFonts w:eastAsia="Times New Roman" w:cs="Times New Roman"/>
      <w:sz w:val="24"/>
      <w:szCs w:val="24"/>
    </w:rPr>
  </w:style>
  <w:style w:type="table" w:styleId="11">
    <w:name w:val="Table Grid"/>
    <w:basedOn w:val="4"/>
    <w:qFormat/>
    <w:uiPriority w:val="59"/>
    <w:rPr>
      <w:rFonts w:ascii="Times New Roman" w:hAnsi="Times New Roman"/>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2">
    <w:name w:val="List Paragraph"/>
    <w:basedOn w:val="1"/>
    <w:link w:val="18"/>
    <w:qFormat/>
    <w:uiPriority w:val="34"/>
    <w:pPr>
      <w:spacing w:after="0" w:line="312" w:lineRule="auto"/>
      <w:ind w:left="720"/>
      <w:contextualSpacing/>
    </w:pPr>
    <w:rPr>
      <w:rFonts w:ascii=".VnTime" w:hAnsi=".VnTime" w:eastAsia="Times New Roman" w:cs="Times New Roman"/>
      <w:sz w:val="24"/>
      <w:szCs w:val="24"/>
      <w:lang w:val="en-US"/>
    </w:rPr>
  </w:style>
  <w:style w:type="character" w:customStyle="1" w:styleId="13">
    <w:name w:val="Footer Char"/>
    <w:basedOn w:val="3"/>
    <w:link w:val="7"/>
    <w:qFormat/>
    <w:uiPriority w:val="99"/>
    <w:rPr>
      <w:rFonts w:ascii="Times New Roman" w:hAnsi="Times New Roman"/>
      <w:sz w:val="28"/>
      <w:lang w:val="vi-VN"/>
    </w:rPr>
  </w:style>
  <w:style w:type="character" w:customStyle="1" w:styleId="14">
    <w:name w:val="Balloon Text Char"/>
    <w:basedOn w:val="3"/>
    <w:link w:val="5"/>
    <w:semiHidden/>
    <w:qFormat/>
    <w:uiPriority w:val="99"/>
    <w:rPr>
      <w:rFonts w:ascii="Segoe UI" w:hAnsi="Segoe UI" w:cs="Segoe UI"/>
      <w:sz w:val="18"/>
      <w:szCs w:val="18"/>
      <w:lang w:val="vi-VN"/>
    </w:rPr>
  </w:style>
  <w:style w:type="character" w:customStyle="1" w:styleId="15">
    <w:name w:val="font81"/>
    <w:qFormat/>
    <w:uiPriority w:val="0"/>
    <w:rPr>
      <w:rFonts w:hint="default" w:ascii="Times New Roman" w:hAnsi="Times New Roman" w:cs="Times New Roman"/>
      <w:b/>
      <w:bCs/>
      <w:color w:val="000000"/>
      <w:sz w:val="18"/>
      <w:szCs w:val="18"/>
      <w:u w:val="none"/>
    </w:rPr>
  </w:style>
  <w:style w:type="character" w:customStyle="1" w:styleId="16">
    <w:name w:val="font91"/>
    <w:qFormat/>
    <w:uiPriority w:val="0"/>
    <w:rPr>
      <w:rFonts w:hint="default" w:ascii="Times New Roman" w:hAnsi="Times New Roman" w:cs="Times New Roman"/>
      <w:b/>
      <w:bCs/>
      <w:color w:val="000000"/>
      <w:sz w:val="18"/>
      <w:szCs w:val="18"/>
      <w:u w:val="none"/>
    </w:rPr>
  </w:style>
  <w:style w:type="character" w:customStyle="1" w:styleId="17">
    <w:name w:val="fontarticledesc"/>
    <w:basedOn w:val="3"/>
    <w:qFormat/>
    <w:uiPriority w:val="0"/>
  </w:style>
  <w:style w:type="character" w:customStyle="1" w:styleId="18">
    <w:name w:val="List Paragraph Char"/>
    <w:link w:val="12"/>
    <w:qFormat/>
    <w:locked/>
    <w:uiPriority w:val="34"/>
    <w:rPr>
      <w:rFonts w:ascii=".VnTime" w:hAnsi=".VnTime" w:eastAsia="Times New Roman" w:cs="Times New Roman"/>
      <w:sz w:val="24"/>
      <w:szCs w:val="24"/>
    </w:rPr>
  </w:style>
  <w:style w:type="paragraph" w:customStyle="1" w:styleId="19">
    <w:name w:val="Default"/>
    <w:uiPriority w:val="0"/>
    <w:pPr>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20">
    <w:name w:val="Heading 1 Char"/>
    <w:basedOn w:val="3"/>
    <w:link w:val="2"/>
    <w:uiPriority w:val="0"/>
    <w:rPr>
      <w:rFonts w:ascii="Calibri Light" w:hAnsi="Calibri Light" w:eastAsia="Times New Roman" w:cs="Times New Roman"/>
      <w:b/>
      <w:bCs/>
      <w:kern w:val="32"/>
      <w:sz w:val="32"/>
      <w:szCs w:val="32"/>
    </w:rPr>
  </w:style>
  <w:style w:type="character" w:customStyle="1" w:styleId="21">
    <w:name w:val="Header Char"/>
    <w:basedOn w:val="3"/>
    <w:link w:val="8"/>
    <w:uiPriority w:val="99"/>
    <w:rPr>
      <w:rFonts w:ascii="Times New Roman" w:hAnsi="Times New Roman"/>
      <w:sz w:val="28"/>
      <w:szCs w:val="22"/>
      <w:lang w:val="vi-VN"/>
    </w:rPr>
  </w:style>
  <w:style w:type="character" w:customStyle="1" w:styleId="22">
    <w:name w:val="fontstyle01"/>
    <w:qFormat/>
    <w:uiPriority w:val="0"/>
    <w:rPr>
      <w:rFonts w:hint="default" w:ascii="Times New Roman" w:hAnsi="Times New Roman" w:cs="Times New Roman"/>
      <w:color w:val="000000"/>
      <w:sz w:val="26"/>
      <w:szCs w:val="2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AFF57-EC94-49C3-9A76-3D9E45B9C58F}">
  <ds:schemaRefs/>
</ds:datastoreItem>
</file>

<file path=docProps/app.xml><?xml version="1.0" encoding="utf-8"?>
<Properties xmlns="http://schemas.openxmlformats.org/officeDocument/2006/extended-properties" xmlns:vt="http://schemas.openxmlformats.org/officeDocument/2006/docPropsVTypes">
  <Template>Normal</Template>
  <Pages>3</Pages>
  <Words>1265</Words>
  <Characters>4595</Characters>
  <Lines>43</Lines>
  <Paragraphs>12</Paragraphs>
  <TotalTime>764</TotalTime>
  <ScaleCrop>false</ScaleCrop>
  <LinksUpToDate>false</LinksUpToDate>
  <CharactersWithSpaces>6019</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2025-06-09T03:23:00Z</dcterms:created>
  <dc:creator>NOI 3</dc:creator>
  <cp:lastModifiedBy>Truong Hoang Hiep</cp:lastModifiedBy>
  <cp:lastPrinted>2023-09-25T07:44:00Z</cp:lastPrinted>
  <dcterms:modified xsi:type="dcterms:W3CDTF">2026-08-19T06:58:25Z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7BD21988425746FD9F5194B98D74CF34</vt:lpwstr>
  </property>
  <property fmtid="{D5CDD505-2E9C-101B-9397-08002B2CF9AE}" pid="4" name="KSOTemplateDocerSaveRecord">
    <vt:lpwstr>eyJoZGlkIjoiOTI5NzlhZmJlN2MyY2IzNDU5YmRiYWE1NjQyYjM1ZmYiLCJ1c2VySWQiOiIxMzkxODMwMzk4NjUyIn0=</vt:lpwstr>
  </property>
</Properties>
</file>