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D6ECBB6">
      <w:pPr>
        <w:spacing w:after="0" w:line="240" w:lineRule="auto"/>
        <w:jc w:val="center"/>
        <w:rPr>
          <w:rFonts w:cs="Times New Roman"/>
          <w:color w:val="000000" w:themeColor="text1"/>
          <w:sz w:val="26"/>
          <w:szCs w:val="20"/>
          <w14:textFill>
            <w14:solidFill>
              <w14:schemeClr w14:val="tx1"/>
            </w14:solidFill>
          </w14:textFill>
        </w:rPr>
      </w:pPr>
      <w:r>
        <w:rPr>
          <w:rFonts w:cs="Times New Roman"/>
          <w:b/>
          <w:szCs w:val="28"/>
        </w:rPr>
        <w:t>Phụ lục: Danh mục mua sắ</w:t>
      </w:r>
      <w:bookmarkStart w:id="4" w:name="_GoBack"/>
      <w:bookmarkEnd w:id="4"/>
      <w:r>
        <w:rPr>
          <w:rFonts w:cs="Times New Roman"/>
          <w:b/>
          <w:szCs w:val="28"/>
        </w:rPr>
        <w:t>m, số lượng, yêu cầu kỹ thuật</w:t>
      </w:r>
    </w:p>
    <w:p w14:paraId="0E89C782">
      <w:pPr>
        <w:spacing w:after="0" w:line="360" w:lineRule="exact"/>
        <w:jc w:val="center"/>
        <w:rPr>
          <w:rFonts w:cs="Times New Roman"/>
          <w:b/>
          <w:szCs w:val="28"/>
          <w:lang w:val="en-US"/>
        </w:rPr>
      </w:pPr>
      <w:r>
        <w:rPr>
          <w:rFonts w:cs="Times New Roman"/>
          <w:b/>
          <w:szCs w:val="28"/>
          <w:lang w:val="en-US"/>
        </w:rPr>
        <w:t xml:space="preserve">Gói thầu: </w:t>
      </w:r>
      <w:r>
        <w:t>Mua sắm tài sản, công cụ dụng cụ phục vụ người bệnh năm 2026</w:t>
      </w:r>
    </w:p>
    <w:p w14:paraId="3C5AAFB2">
      <w:pPr>
        <w:spacing w:after="0" w:line="240" w:lineRule="auto"/>
        <w:jc w:val="center"/>
        <w:rPr>
          <w:rFonts w:cs="Times New Roman"/>
          <w:i/>
          <w:szCs w:val="28"/>
          <w:lang w:val="en-US"/>
        </w:rPr>
      </w:pPr>
      <w:r>
        <w:rPr>
          <w:rFonts w:cs="Times New Roman"/>
          <w:i/>
          <w:szCs w:val="28"/>
        </w:rPr>
        <w:t>(Kèm theo Quyết định số</w:t>
      </w:r>
      <w:r>
        <w:rPr>
          <w:rFonts w:cs="Times New Roman"/>
          <w:i/>
          <w:szCs w:val="28"/>
          <w:lang w:val="en-US"/>
        </w:rPr>
        <w:t xml:space="preserve"> 7824</w:t>
      </w:r>
      <w:r>
        <w:rPr>
          <w:rFonts w:cs="Times New Roman"/>
          <w:i/>
          <w:szCs w:val="28"/>
        </w:rPr>
        <w:t>/QĐ-BV</w:t>
      </w:r>
      <w:r>
        <w:rPr>
          <w:rFonts w:cs="Times New Roman"/>
          <w:i/>
          <w:szCs w:val="28"/>
          <w:lang w:val="en-US"/>
        </w:rPr>
        <w:t>ĐKBN2</w:t>
      </w:r>
      <w:r>
        <w:rPr>
          <w:rFonts w:cs="Times New Roman"/>
          <w:i/>
          <w:szCs w:val="28"/>
        </w:rPr>
        <w:t xml:space="preserve"> ngày </w:t>
      </w:r>
      <w:r>
        <w:rPr>
          <w:rFonts w:cs="Times New Roman"/>
          <w:i/>
          <w:szCs w:val="28"/>
          <w:lang w:val="en-US"/>
        </w:rPr>
        <w:t>13/8</w:t>
      </w:r>
      <w:r>
        <w:rPr>
          <w:rFonts w:cs="Times New Roman"/>
          <w:i/>
          <w:szCs w:val="28"/>
        </w:rPr>
        <w:t>/202</w:t>
      </w:r>
      <w:r>
        <w:rPr>
          <w:rFonts w:cs="Times New Roman"/>
          <w:i/>
          <w:szCs w:val="28"/>
          <w:lang w:val="en-US"/>
        </w:rPr>
        <w:t>6</w:t>
      </w:r>
      <w:r>
        <w:rPr>
          <w:rFonts w:cs="Times New Roman"/>
          <w:i/>
          <w:szCs w:val="28"/>
        </w:rPr>
        <w:t xml:space="preserve"> của Giám đốc Bệnh viện</w:t>
      </w:r>
      <w:r>
        <w:rPr>
          <w:rFonts w:cs="Times New Roman"/>
          <w:i/>
          <w:szCs w:val="28"/>
          <w:lang w:val="en-US"/>
        </w:rPr>
        <w:t xml:space="preserve"> đa khoa Bắc Ninh số 2)</w:t>
      </w:r>
    </w:p>
    <w:tbl>
      <w:tblPr>
        <w:tblStyle w:val="4"/>
        <w:tblW w:w="960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6"/>
        <w:gridCol w:w="1539"/>
        <w:gridCol w:w="5479"/>
        <w:gridCol w:w="929"/>
        <w:gridCol w:w="913"/>
      </w:tblGrid>
      <w:tr w14:paraId="2C5E4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8" w:hRule="atLeast"/>
          <w:tblHeader/>
        </w:trPr>
        <w:tc>
          <w:tcPr>
            <w:tcW w:w="746" w:type="dxa"/>
            <w:shd w:val="clear" w:color="auto" w:fill="auto"/>
            <w:vAlign w:val="center"/>
          </w:tcPr>
          <w:p w14:paraId="13F857FE">
            <w:pPr>
              <w:spacing w:after="120"/>
              <w:jc w:val="center"/>
              <w:rPr>
                <w:b/>
                <w:bCs/>
                <w:iCs/>
              </w:rPr>
            </w:pPr>
            <w:r>
              <w:rPr>
                <w:b/>
                <w:bCs/>
                <w:iCs/>
              </w:rPr>
              <w:t>STT</w:t>
            </w:r>
          </w:p>
        </w:tc>
        <w:tc>
          <w:tcPr>
            <w:tcW w:w="1539" w:type="dxa"/>
            <w:shd w:val="clear" w:color="auto" w:fill="auto"/>
            <w:vAlign w:val="center"/>
          </w:tcPr>
          <w:p w14:paraId="39547621">
            <w:pPr>
              <w:spacing w:after="120"/>
              <w:jc w:val="center"/>
              <w:rPr>
                <w:b/>
                <w:bCs/>
                <w:iCs/>
              </w:rPr>
            </w:pPr>
            <w:r>
              <w:rPr>
                <w:b/>
                <w:bCs/>
                <w:iCs/>
              </w:rPr>
              <w:t>Danh mục hàng hóa</w:t>
            </w:r>
          </w:p>
        </w:tc>
        <w:tc>
          <w:tcPr>
            <w:tcW w:w="5479" w:type="dxa"/>
            <w:shd w:val="clear" w:color="auto" w:fill="auto"/>
            <w:vAlign w:val="center"/>
          </w:tcPr>
          <w:p w14:paraId="78449512">
            <w:pPr>
              <w:spacing w:after="120"/>
              <w:jc w:val="center"/>
              <w:rPr>
                <w:b/>
                <w:bCs/>
                <w:iCs/>
              </w:rPr>
            </w:pPr>
            <w:r>
              <w:rPr>
                <w:b/>
                <w:bCs/>
                <w:iCs/>
              </w:rPr>
              <w:t>Yêu cầu về tính năng, yêu cầu về kĩ thuật</w:t>
            </w:r>
          </w:p>
        </w:tc>
        <w:tc>
          <w:tcPr>
            <w:tcW w:w="929" w:type="dxa"/>
            <w:shd w:val="clear" w:color="auto" w:fill="auto"/>
            <w:vAlign w:val="center"/>
          </w:tcPr>
          <w:p w14:paraId="7A17BF82">
            <w:pPr>
              <w:spacing w:after="120"/>
              <w:jc w:val="center"/>
              <w:rPr>
                <w:b/>
                <w:bCs/>
                <w:iCs/>
              </w:rPr>
            </w:pPr>
            <w:r>
              <w:rPr>
                <w:b/>
                <w:bCs/>
                <w:iCs/>
              </w:rPr>
              <w:t>Đơn vị tính</w:t>
            </w:r>
          </w:p>
        </w:tc>
        <w:tc>
          <w:tcPr>
            <w:tcW w:w="913" w:type="dxa"/>
            <w:shd w:val="clear" w:color="auto" w:fill="auto"/>
            <w:vAlign w:val="center"/>
          </w:tcPr>
          <w:p w14:paraId="7C1AD4AF">
            <w:pPr>
              <w:spacing w:after="120"/>
              <w:jc w:val="center"/>
              <w:rPr>
                <w:b/>
                <w:bCs/>
                <w:iCs/>
              </w:rPr>
            </w:pPr>
            <w:r>
              <w:rPr>
                <w:b/>
                <w:bCs/>
                <w:iCs/>
              </w:rPr>
              <w:t xml:space="preserve"> Số lượng </w:t>
            </w:r>
          </w:p>
        </w:tc>
      </w:tr>
      <w:tr w14:paraId="3B93FB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746" w:type="dxa"/>
            <w:shd w:val="clear" w:color="auto" w:fill="auto"/>
            <w:vAlign w:val="center"/>
          </w:tcPr>
          <w:p w14:paraId="37778167">
            <w:pPr>
              <w:spacing w:after="120"/>
              <w:jc w:val="center"/>
              <w:rPr>
                <w:iCs/>
              </w:rPr>
            </w:pPr>
            <w:r>
              <w:rPr>
                <w:iCs/>
              </w:rPr>
              <w:t>1</w:t>
            </w:r>
          </w:p>
        </w:tc>
        <w:tc>
          <w:tcPr>
            <w:tcW w:w="1539" w:type="dxa"/>
            <w:shd w:val="clear" w:color="auto" w:fill="auto"/>
            <w:vAlign w:val="center"/>
          </w:tcPr>
          <w:p w14:paraId="7EAC1326">
            <w:pPr>
              <w:spacing w:after="120"/>
              <w:rPr>
                <w:iCs/>
              </w:rPr>
            </w:pPr>
            <w:r>
              <w:t>Bàn inox tiếp đón bệnh nhân</w:t>
            </w:r>
            <w:r>
              <w:br w:type="textWrapping"/>
            </w:r>
          </w:p>
        </w:tc>
        <w:tc>
          <w:tcPr>
            <w:tcW w:w="5479" w:type="dxa"/>
            <w:shd w:val="clear" w:color="auto" w:fill="auto"/>
            <w:vAlign w:val="center"/>
          </w:tcPr>
          <w:p w14:paraId="2A6784A1">
            <w:pPr>
              <w:spacing w:after="120"/>
              <w:rPr>
                <w:iCs/>
              </w:rPr>
            </w:pPr>
            <w:r>
              <w:t xml:space="preserve">Chất liệu: 100% làm từ inox SUS304; </w:t>
            </w:r>
            <w:r>
              <w:br w:type="textWrapping"/>
            </w:r>
            <w:r>
              <w:t xml:space="preserve">- Kích thước: dài, rộng, cao (1200x700x750) mm ± 5%; </w:t>
            </w:r>
            <w:r>
              <w:br w:type="textWrapping"/>
            </w:r>
            <w:r>
              <w:t xml:space="preserve">- Mặt bàn dày ≥ 1.2 mm có  dập lỗ luồn cáp máy tính; chân bằng ống đường kính ≥ 38 mm có đệm cao su, hoặc hộp ≥ (40x40) mm, dày ≥ 1.2 mm. Dưới có ngăn kéo trượt để bàn phím; 4 chân có liên kết thanh giằng chữ I với nhau. </w:t>
            </w:r>
          </w:p>
        </w:tc>
        <w:tc>
          <w:tcPr>
            <w:tcW w:w="929" w:type="dxa"/>
            <w:shd w:val="clear" w:color="auto" w:fill="auto"/>
            <w:vAlign w:val="center"/>
          </w:tcPr>
          <w:p w14:paraId="6057D6A6">
            <w:pPr>
              <w:spacing w:after="120"/>
              <w:jc w:val="center"/>
              <w:rPr>
                <w:iCs/>
              </w:rPr>
            </w:pPr>
            <w:r>
              <w:rPr>
                <w:iCs/>
              </w:rPr>
              <w:t>Cái</w:t>
            </w:r>
          </w:p>
        </w:tc>
        <w:tc>
          <w:tcPr>
            <w:tcW w:w="913" w:type="dxa"/>
            <w:shd w:val="clear" w:color="auto" w:fill="auto"/>
            <w:vAlign w:val="center"/>
          </w:tcPr>
          <w:p w14:paraId="24D2870E">
            <w:pPr>
              <w:spacing w:after="120"/>
              <w:jc w:val="center"/>
              <w:rPr>
                <w:iCs/>
              </w:rPr>
            </w:pPr>
            <w:r>
              <w:rPr>
                <w:iCs/>
              </w:rPr>
              <w:t xml:space="preserve">500  </w:t>
            </w:r>
          </w:p>
        </w:tc>
      </w:tr>
      <w:tr w14:paraId="2AF6DF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46" w:type="dxa"/>
            <w:shd w:val="clear" w:color="auto" w:fill="auto"/>
            <w:vAlign w:val="center"/>
          </w:tcPr>
          <w:p w14:paraId="371F832B">
            <w:pPr>
              <w:spacing w:after="120"/>
              <w:jc w:val="center"/>
              <w:rPr>
                <w:iCs/>
              </w:rPr>
            </w:pPr>
            <w:r>
              <w:rPr>
                <w:iCs/>
              </w:rPr>
              <w:t>2</w:t>
            </w:r>
          </w:p>
        </w:tc>
        <w:tc>
          <w:tcPr>
            <w:tcW w:w="1539" w:type="dxa"/>
            <w:shd w:val="clear" w:color="auto" w:fill="auto"/>
            <w:vAlign w:val="center"/>
          </w:tcPr>
          <w:p w14:paraId="4EF7D4AC">
            <w:pPr>
              <w:spacing w:after="120"/>
              <w:rPr>
                <w:iCs/>
              </w:rPr>
            </w:pPr>
            <w:r>
              <w:t>Cáng vận chuyển bệnh nhân</w:t>
            </w:r>
            <w:r>
              <w:br w:type="textWrapping"/>
            </w:r>
          </w:p>
        </w:tc>
        <w:tc>
          <w:tcPr>
            <w:tcW w:w="5479" w:type="dxa"/>
            <w:shd w:val="clear" w:color="auto" w:fill="auto"/>
            <w:vAlign w:val="center"/>
          </w:tcPr>
          <w:p w14:paraId="14A6B257">
            <w:pPr>
              <w:spacing w:after="120"/>
              <w:rPr>
                <w:iCs/>
              </w:rPr>
            </w:pPr>
            <w:r>
              <w:t>Chất liệu: 100% bằng Inox SUS304 trừ bánh xe;</w:t>
            </w:r>
            <w:r>
              <w:br w:type="textWrapping"/>
            </w:r>
            <w:r>
              <w:t xml:space="preserve">- Kích thước tổng thể: dài, rộng, cao (1900x600x750) mm ±5% </w:t>
            </w:r>
            <w:r>
              <w:br w:type="textWrapping"/>
            </w:r>
            <w:r>
              <w:t>- Kết cấu:</w:t>
            </w:r>
            <w:r>
              <w:br w:type="textWrapping"/>
            </w:r>
            <w:r>
              <w:t>+ Khung chân xe bằng inox ống ≥ Ф 31,8 mm, dày ≥ 1,2 mm; khung mặt và khung giằng bằng inox ống ≥ Ф 25,4 mm, dày ≥ 1 mm</w:t>
            </w:r>
            <w:r>
              <w:br w:type="textWrapping"/>
            </w:r>
            <w:r>
              <w:t>+ Mặt cáng bằng inox tấm dày ≥ 1,0 mm</w:t>
            </w:r>
            <w:r>
              <w:br w:type="textWrapping"/>
            </w:r>
            <w:r>
              <w:t>+ Hai lan can bằng inox hai bên có thể nâng lên, hạ  xuống, làm bằng ống inox ≥ Ф 19 mm, dày ≥ 1,2 mm</w:t>
            </w:r>
            <w:r>
              <w:br w:type="textWrapping"/>
            </w:r>
            <w:r>
              <w:t>+ Phần đầu, lưng có thể nâng lên từ 0-30 độ theo cơ cấu thanh chống, điều khiển bằng tay.</w:t>
            </w:r>
            <w:r>
              <w:br w:type="textWrapping"/>
            </w:r>
            <w:r>
              <w:t>+ Cọc truyền dịch bằng inox ống ≥ Ф 15,9 mm, dày ≥ 0,8 mm</w:t>
            </w:r>
            <w:r>
              <w:br w:type="textWrapping"/>
            </w:r>
            <w:r>
              <w:t>+ Có giá để bình khí ô xy xách tay.</w:t>
            </w:r>
            <w:r>
              <w:br w:type="textWrapping"/>
            </w:r>
            <w:r>
              <w:t>+ Bốn bánh xe ≥ Ф 150 mm, trong đó có 2 bánh xe có phanh hãm.</w:t>
            </w:r>
            <w:r>
              <w:br w:type="textWrapping"/>
            </w:r>
            <w:r>
              <w:t>+ Đệm bông ép dày ≥ 50 mm được bọc giả da</w:t>
            </w:r>
          </w:p>
        </w:tc>
        <w:tc>
          <w:tcPr>
            <w:tcW w:w="929" w:type="dxa"/>
            <w:shd w:val="clear" w:color="auto" w:fill="auto"/>
            <w:vAlign w:val="center"/>
          </w:tcPr>
          <w:p w14:paraId="5A145DA4">
            <w:pPr>
              <w:spacing w:after="120"/>
              <w:jc w:val="center"/>
              <w:rPr>
                <w:iCs/>
              </w:rPr>
            </w:pPr>
            <w:r>
              <w:rPr>
                <w:iCs/>
              </w:rPr>
              <w:t>Cuộn</w:t>
            </w:r>
          </w:p>
        </w:tc>
        <w:tc>
          <w:tcPr>
            <w:tcW w:w="913" w:type="dxa"/>
            <w:shd w:val="clear" w:color="auto" w:fill="auto"/>
            <w:vAlign w:val="center"/>
          </w:tcPr>
          <w:p w14:paraId="5A593298">
            <w:pPr>
              <w:spacing w:after="120"/>
              <w:jc w:val="center"/>
              <w:rPr>
                <w:iCs/>
              </w:rPr>
            </w:pPr>
            <w:r>
              <w:rPr>
                <w:iCs/>
              </w:rPr>
              <w:t xml:space="preserve">100   </w:t>
            </w:r>
          </w:p>
        </w:tc>
      </w:tr>
      <w:tr w14:paraId="32DF7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746" w:type="dxa"/>
            <w:shd w:val="clear" w:color="auto" w:fill="auto"/>
            <w:vAlign w:val="center"/>
          </w:tcPr>
          <w:p w14:paraId="5BDB2D76">
            <w:pPr>
              <w:spacing w:after="120"/>
              <w:jc w:val="center"/>
              <w:rPr>
                <w:iCs/>
              </w:rPr>
            </w:pPr>
            <w:r>
              <w:rPr>
                <w:iCs/>
              </w:rPr>
              <w:t>3</w:t>
            </w:r>
          </w:p>
        </w:tc>
        <w:tc>
          <w:tcPr>
            <w:tcW w:w="1539" w:type="dxa"/>
            <w:shd w:val="clear" w:color="auto" w:fill="auto"/>
            <w:vAlign w:val="center"/>
          </w:tcPr>
          <w:p w14:paraId="026BE95A">
            <w:pPr>
              <w:spacing w:after="120"/>
              <w:rPr>
                <w:iCs/>
              </w:rPr>
            </w:pPr>
            <w:r>
              <w:t>Cọc truyền dịch inox</w:t>
            </w:r>
            <w:r>
              <w:br w:type="textWrapping"/>
            </w:r>
          </w:p>
        </w:tc>
        <w:tc>
          <w:tcPr>
            <w:tcW w:w="5479" w:type="dxa"/>
            <w:shd w:val="clear" w:color="auto" w:fill="auto"/>
            <w:vAlign w:val="center"/>
          </w:tcPr>
          <w:p w14:paraId="00E3E13D">
            <w:pPr>
              <w:spacing w:after="120"/>
              <w:rPr>
                <w:iCs/>
              </w:rPr>
            </w:pPr>
            <w:r>
              <w:t xml:space="preserve"> Chất liệu:100% bằng Inox SUS304;</w:t>
            </w:r>
            <w:r>
              <w:br w:type="textWrapping"/>
            </w:r>
            <w:r>
              <w:t>- Kích thước tổng thể: cao, rộng (1820 x 700) mm ± 5%.</w:t>
            </w:r>
            <w:r>
              <w:br w:type="textWrapping"/>
            </w:r>
            <w:r>
              <w:t>- Kết cấu:</w:t>
            </w:r>
            <w:r>
              <w:br w:type="textWrapping"/>
            </w:r>
            <w:r>
              <w:t>+ Khung đế được làm bằng Inox hộp (30 x 60) (mm), dày ≥ 1mm và được gia cố thêm để tạo độ chắc chắn cho giá.</w:t>
            </w:r>
            <w:r>
              <w:br w:type="textWrapping"/>
            </w:r>
            <w:r>
              <w:t>+ Thân giá treo bằng ống ≥ Ф 32 mm, độ dày ≥ 1 mm cao 1680 mm.</w:t>
            </w:r>
            <w:r>
              <w:br w:type="textWrapping"/>
            </w:r>
            <w:r>
              <w:t xml:space="preserve">+ Giá treo bằng hộp (25 x 25) mm, dày ≥ 1 mm có 4 móc treo bằng Inox đặc ≥ Ф 5 mm. </w:t>
            </w:r>
            <w:r>
              <w:br w:type="textWrapping"/>
            </w:r>
            <w:r>
              <w:t>+ Vị trí giá treo có thể điều chỉnh được, được cố định bằng núm vặn.</w:t>
            </w:r>
            <w:r>
              <w:br w:type="textWrapping"/>
            </w:r>
            <w:r>
              <w:t>+Khung đế được lắp trên 5 bánh xe đường kính ≥ Ф 50 mm.</w:t>
            </w:r>
          </w:p>
        </w:tc>
        <w:tc>
          <w:tcPr>
            <w:tcW w:w="929" w:type="dxa"/>
            <w:shd w:val="clear" w:color="auto" w:fill="auto"/>
            <w:vAlign w:val="center"/>
          </w:tcPr>
          <w:p w14:paraId="414495D6">
            <w:pPr>
              <w:spacing w:after="120"/>
              <w:jc w:val="center"/>
              <w:rPr>
                <w:iCs/>
              </w:rPr>
            </w:pPr>
            <w:r>
              <w:rPr>
                <w:iCs/>
              </w:rPr>
              <w:t>Cái</w:t>
            </w:r>
          </w:p>
        </w:tc>
        <w:tc>
          <w:tcPr>
            <w:tcW w:w="913" w:type="dxa"/>
            <w:shd w:val="clear" w:color="auto" w:fill="auto"/>
            <w:vAlign w:val="center"/>
          </w:tcPr>
          <w:p w14:paraId="7F3517D0">
            <w:pPr>
              <w:spacing w:after="120"/>
              <w:jc w:val="center"/>
              <w:rPr>
                <w:iCs/>
              </w:rPr>
            </w:pPr>
            <w:r>
              <w:rPr>
                <w:iCs/>
              </w:rPr>
              <w:t xml:space="preserve">100   </w:t>
            </w:r>
          </w:p>
        </w:tc>
      </w:tr>
      <w:tr w14:paraId="50160F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46" w:type="dxa"/>
            <w:shd w:val="clear" w:color="auto" w:fill="auto"/>
            <w:vAlign w:val="center"/>
          </w:tcPr>
          <w:p w14:paraId="4195BDBB">
            <w:pPr>
              <w:spacing w:after="120"/>
              <w:jc w:val="center"/>
              <w:rPr>
                <w:iCs/>
              </w:rPr>
            </w:pPr>
            <w:r>
              <w:rPr>
                <w:iCs/>
              </w:rPr>
              <w:t>4</w:t>
            </w:r>
          </w:p>
        </w:tc>
        <w:tc>
          <w:tcPr>
            <w:tcW w:w="1539" w:type="dxa"/>
            <w:shd w:val="clear" w:color="auto" w:fill="auto"/>
            <w:vAlign w:val="center"/>
          </w:tcPr>
          <w:p w14:paraId="289C7EA9">
            <w:pPr>
              <w:spacing w:after="120"/>
              <w:rPr>
                <w:iCs/>
              </w:rPr>
            </w:pPr>
            <w:r>
              <w:t>Tủ inox đựng dụng cụ y tế</w:t>
            </w:r>
            <w:r>
              <w:br w:type="textWrapping"/>
            </w:r>
          </w:p>
        </w:tc>
        <w:tc>
          <w:tcPr>
            <w:tcW w:w="5479" w:type="dxa"/>
            <w:shd w:val="clear" w:color="auto" w:fill="auto"/>
            <w:vAlign w:val="center"/>
          </w:tcPr>
          <w:p w14:paraId="16B3D710">
            <w:pPr>
              <w:spacing w:after="120"/>
              <w:rPr>
                <w:iCs/>
              </w:rPr>
            </w:pPr>
            <w:r>
              <w:t xml:space="preserve">Chất liệu: 100% làm từ inox SUS 304; </w:t>
            </w:r>
            <w:r>
              <w:br w:type="textWrapping"/>
            </w:r>
            <w:r>
              <w:t>- Kích thước tổng thể: rộng, sâu, cao (800 x 400 x 1600) mm ±5%</w:t>
            </w:r>
            <w:r>
              <w:br w:type="textWrapping"/>
            </w:r>
            <w:r>
              <w:t>-Kết cấu:</w:t>
            </w:r>
            <w:r>
              <w:br w:type="textWrapping"/>
            </w:r>
            <w:r>
              <w:t>+ Tủ chia làm hai khoang, có khóa riêng từng khoang:</w:t>
            </w:r>
            <w:r>
              <w:br w:type="textWrapping"/>
            </w:r>
            <w:r>
              <w:t>+ Khoang trên có 2 cánh cửa bằng kính trắng dày ≥ 5mm, có khóa chìm. Phần trên được chia thành 3 ngăn bởi 2 sàn bằng inox tấm.</w:t>
            </w:r>
            <w:r>
              <w:br w:type="textWrapping"/>
            </w:r>
            <w:r>
              <w:t>+ Khoang dưới có 1 sàn inox, 2 cánh cửa, có khóa, được bao toàn bộ bằng inox tấm.</w:t>
            </w:r>
            <w:r>
              <w:br w:type="textWrapping"/>
            </w:r>
            <w:r>
              <w:t>+ Hồi, nóc, hậu, sàn bọc inox tấm.</w:t>
            </w:r>
            <w:r>
              <w:br w:type="textWrapping"/>
            </w:r>
            <w:r>
              <w:t>+ Chân tủ đệm cao su đúc.</w:t>
            </w:r>
            <w:r>
              <w:br w:type="textWrapping"/>
            </w:r>
            <w:r>
              <w:t>+ Khung tủ, cánh tủ bằng inox hộp ≥ (25 x 25) mm, dày ≥ 1 mm</w:t>
            </w:r>
            <w:r>
              <w:br w:type="textWrapping"/>
            </w:r>
            <w:r>
              <w:t>+ Đố dọc tủ bằng inox hộp ≥ (25 x 50) mm. dày ≥ 1,2 mm.</w:t>
            </w:r>
            <w:r>
              <w:br w:type="textWrapping"/>
            </w:r>
            <w:r>
              <w:t>+ Kính trắng dày ≥ 5 mm.</w:t>
            </w:r>
            <w:r>
              <w:br w:type="textWrapping"/>
            </w:r>
            <w:r>
              <w:t>+ Các tấm bọc xung quanh, hồi tủ, bằng inox tấm dày ≥ 1 mm.</w:t>
            </w:r>
            <w:r>
              <w:br w:type="textWrapping"/>
            </w:r>
            <w:r>
              <w:t>+ Có khóa ở cánh tủ</w:t>
            </w:r>
          </w:p>
        </w:tc>
        <w:tc>
          <w:tcPr>
            <w:tcW w:w="929" w:type="dxa"/>
            <w:shd w:val="clear" w:color="auto" w:fill="auto"/>
            <w:vAlign w:val="center"/>
          </w:tcPr>
          <w:p w14:paraId="0C4E4719">
            <w:pPr>
              <w:spacing w:after="120"/>
              <w:jc w:val="center"/>
              <w:rPr>
                <w:iCs/>
              </w:rPr>
            </w:pPr>
            <w:r>
              <w:rPr>
                <w:iCs/>
              </w:rPr>
              <w:t>Bộ</w:t>
            </w:r>
          </w:p>
        </w:tc>
        <w:tc>
          <w:tcPr>
            <w:tcW w:w="913" w:type="dxa"/>
            <w:shd w:val="clear" w:color="auto" w:fill="auto"/>
            <w:vAlign w:val="center"/>
          </w:tcPr>
          <w:p w14:paraId="320A4C18">
            <w:pPr>
              <w:spacing w:after="120"/>
              <w:jc w:val="center"/>
              <w:rPr>
                <w:iCs/>
              </w:rPr>
            </w:pPr>
            <w:r>
              <w:rPr>
                <w:iCs/>
              </w:rPr>
              <w:t>01</w:t>
            </w:r>
          </w:p>
        </w:tc>
      </w:tr>
      <w:tr w14:paraId="34C01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0" w:hRule="atLeast"/>
        </w:trPr>
        <w:tc>
          <w:tcPr>
            <w:tcW w:w="746" w:type="dxa"/>
            <w:shd w:val="clear" w:color="auto" w:fill="auto"/>
            <w:vAlign w:val="center"/>
          </w:tcPr>
          <w:p w14:paraId="795EB3F0">
            <w:pPr>
              <w:spacing w:after="120"/>
              <w:jc w:val="center"/>
              <w:rPr>
                <w:iCs/>
              </w:rPr>
            </w:pPr>
            <w:r>
              <w:rPr>
                <w:iCs/>
              </w:rPr>
              <w:t>5</w:t>
            </w:r>
          </w:p>
        </w:tc>
        <w:tc>
          <w:tcPr>
            <w:tcW w:w="1539" w:type="dxa"/>
            <w:shd w:val="clear" w:color="auto" w:fill="auto"/>
            <w:vAlign w:val="center"/>
          </w:tcPr>
          <w:p w14:paraId="4129EEBB">
            <w:pPr>
              <w:spacing w:after="120"/>
              <w:rPr>
                <w:iCs/>
              </w:rPr>
            </w:pPr>
            <w:r>
              <w:t xml:space="preserve">Tủ Inox đựng lưu giữ bệnh phẩm </w:t>
            </w:r>
            <w:r>
              <w:br w:type="page"/>
            </w:r>
          </w:p>
        </w:tc>
        <w:tc>
          <w:tcPr>
            <w:tcW w:w="5479" w:type="dxa"/>
            <w:shd w:val="clear" w:color="auto" w:fill="auto"/>
            <w:vAlign w:val="center"/>
          </w:tcPr>
          <w:p w14:paraId="0986BC43">
            <w:r>
              <w:t xml:space="preserve"> Kích thước (DxRxC)mm: (600x400x1000)mm ±3%</w:t>
            </w:r>
            <w:r>
              <w:br w:type="page"/>
            </w:r>
          </w:p>
          <w:p w14:paraId="10F10087">
            <w:r>
              <w:t>- Vật liệu: inox SUS304</w:t>
            </w:r>
          </w:p>
          <w:p w14:paraId="08ADF8A3">
            <w:r>
              <w:br w:type="page"/>
            </w:r>
            <w:r>
              <w:t>- Tủ bao gồm 2 cánh</w:t>
            </w:r>
            <w:r>
              <w:br w:type="page"/>
            </w:r>
            <w:r>
              <w:t xml:space="preserve"> </w:t>
            </w:r>
          </w:p>
          <w:p w14:paraId="15284488">
            <w:r>
              <w:t>+ Khoang trên cánh cửa mở cánh kính đóng mở có khóa.</w:t>
            </w:r>
            <w:r>
              <w:br w:type="page"/>
            </w:r>
            <w:r>
              <w:t xml:space="preserve"> </w:t>
            </w:r>
          </w:p>
          <w:p w14:paraId="44D9DB8A">
            <w:r>
              <w:t>+ Khoang dưới có cánh kính đóng mở, có khoá từ.</w:t>
            </w:r>
            <w:r>
              <w:br w:type="page"/>
            </w:r>
            <w:r>
              <w:t xml:space="preserve"> </w:t>
            </w:r>
          </w:p>
          <w:p w14:paraId="74C81792">
            <w:r>
              <w:t xml:space="preserve">+ Khoang dưới được chia làm 3 ngăn với 2 sàn inox. </w:t>
            </w:r>
            <w:r>
              <w:br w:type="page"/>
            </w:r>
          </w:p>
          <w:p w14:paraId="3B3D1F18">
            <w:r>
              <w:t xml:space="preserve"> + Hồi, nóc, hậu bằng inox tấm.</w:t>
            </w:r>
            <w:r>
              <w:br w:type="page"/>
            </w:r>
          </w:p>
          <w:p w14:paraId="00B84F2F">
            <w:pPr>
              <w:spacing w:after="120"/>
              <w:rPr>
                <w:iCs/>
              </w:rPr>
            </w:pPr>
            <w:r>
              <w:t xml:space="preserve"> + 4 bánh xe Ø 50mm</w:t>
            </w:r>
            <w:r>
              <w:br w:type="page"/>
            </w:r>
          </w:p>
        </w:tc>
        <w:tc>
          <w:tcPr>
            <w:tcW w:w="929" w:type="dxa"/>
            <w:shd w:val="clear" w:color="auto" w:fill="auto"/>
            <w:vAlign w:val="center"/>
          </w:tcPr>
          <w:p w14:paraId="39C269FC">
            <w:pPr>
              <w:spacing w:after="120"/>
              <w:jc w:val="center"/>
              <w:rPr>
                <w:iCs/>
              </w:rPr>
            </w:pPr>
            <w:r>
              <w:rPr>
                <w:iCs/>
              </w:rPr>
              <w:t>Bộ</w:t>
            </w:r>
          </w:p>
        </w:tc>
        <w:tc>
          <w:tcPr>
            <w:tcW w:w="913" w:type="dxa"/>
            <w:shd w:val="clear" w:color="auto" w:fill="auto"/>
            <w:vAlign w:val="center"/>
          </w:tcPr>
          <w:p w14:paraId="7268ACF4">
            <w:pPr>
              <w:spacing w:after="120"/>
              <w:jc w:val="center"/>
              <w:rPr>
                <w:iCs/>
              </w:rPr>
            </w:pPr>
            <w:r>
              <w:rPr>
                <w:iCs/>
              </w:rPr>
              <w:t xml:space="preserve">200   </w:t>
            </w:r>
          </w:p>
        </w:tc>
      </w:tr>
      <w:tr w14:paraId="0797E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746" w:type="dxa"/>
            <w:shd w:val="clear" w:color="auto" w:fill="auto"/>
            <w:vAlign w:val="center"/>
          </w:tcPr>
          <w:p w14:paraId="4782C32A">
            <w:pPr>
              <w:spacing w:after="120"/>
              <w:jc w:val="center"/>
              <w:rPr>
                <w:iCs/>
              </w:rPr>
            </w:pPr>
            <w:r>
              <w:rPr>
                <w:iCs/>
              </w:rPr>
              <w:t>6</w:t>
            </w:r>
          </w:p>
        </w:tc>
        <w:tc>
          <w:tcPr>
            <w:tcW w:w="1539" w:type="dxa"/>
            <w:shd w:val="clear" w:color="auto" w:fill="auto"/>
            <w:vAlign w:val="center"/>
          </w:tcPr>
          <w:p w14:paraId="7E85EEAE">
            <w:pPr>
              <w:spacing w:after="120"/>
              <w:rPr>
                <w:iCs/>
              </w:rPr>
            </w:pPr>
            <w:r>
              <w:t xml:space="preserve">Tủ đựng dụng cụ (dây nội soi) </w:t>
            </w:r>
            <w:r>
              <w:br w:type="textWrapping"/>
            </w:r>
          </w:p>
        </w:tc>
        <w:tc>
          <w:tcPr>
            <w:tcW w:w="5479" w:type="dxa"/>
            <w:shd w:val="clear" w:color="auto" w:fill="auto"/>
            <w:vAlign w:val="center"/>
          </w:tcPr>
          <w:p w14:paraId="732293E7">
            <w:pPr>
              <w:spacing w:after="120"/>
              <w:rPr>
                <w:iCs/>
              </w:rPr>
            </w:pPr>
            <w:r>
              <w:t>Vật liệu: Toàn bộ bằng thép không gỉ, không nhiễm từ SUS 304.</w:t>
            </w:r>
            <w:r>
              <w:br w:type="textWrapping"/>
            </w:r>
            <w:r>
              <w:t xml:space="preserve">- Kích thước tổng thể: rộng, sâu, cao (1000 x 450 x 1900) mm ±5%. </w:t>
            </w:r>
            <w:r>
              <w:br w:type="textWrapping"/>
            </w:r>
            <w:r>
              <w:t>- Kết cấu:</w:t>
            </w:r>
            <w:r>
              <w:br w:type="textWrapping"/>
            </w:r>
            <w:r>
              <w:t>+Tủ có kết cấu hai cánh cửa khung inox hộp ≥ (20 x 40) mm, dày 1,2 mm; được gắn mica trong suốt, dày ≥ 5 mm, cánh có tay nắm và được khóa bằng khóa âm tương đương việt tiệp.</w:t>
            </w:r>
            <w:r>
              <w:br w:type="textWrapping"/>
            </w:r>
            <w:r>
              <w:t>+ Khung tủ bằng inox hộp ≥ (25 x 50) mm, dày 1,2mm; mặt sau và hai bên quây bằng inox tấm dày ≥ 1 mm.</w:t>
            </w:r>
            <w:r>
              <w:br w:type="textWrapping"/>
            </w:r>
            <w:r>
              <w:t xml:space="preserve">+ Trong tủ bao gồm 4 giá treo dụng cụ bằng mica dày ≥ 25 mm ở phía hậu tủ và 2 cụm móc treo dây nội soi ở 2 bên hồi tủ (mỗi bên hồi gồm 1 cụm với 3 móc treo inox). </w:t>
            </w:r>
            <w:r>
              <w:br w:type="textWrapping"/>
            </w:r>
            <w:r>
              <w:t xml:space="preserve">+ Đèn UV được đặt trong một tấm vách nghiêng bằng inox </w:t>
            </w:r>
            <w:r>
              <w:br w:type="textWrapping"/>
            </w:r>
            <w:r>
              <w:t xml:space="preserve">- Phía trên của tấm vách được khoét lỗ để thoát tia UV, </w:t>
            </w:r>
            <w:r>
              <w:br w:type="textWrapping"/>
            </w:r>
            <w:r>
              <w:t>+ Đế tủ được gia cố (đổ xi măng) để tăng cứng cho sản phẩm .</w:t>
            </w:r>
            <w:r>
              <w:br w:type="textWrapping"/>
            </w:r>
            <w:r>
              <w:t>+ Vách nghiêng bằng inox dày ≥ 1,0 mm.</w:t>
            </w:r>
            <w:r>
              <w:br w:type="textWrapping"/>
            </w:r>
            <w:r>
              <w:t>+ Có khóa ở cánh tủ</w:t>
            </w:r>
          </w:p>
        </w:tc>
        <w:tc>
          <w:tcPr>
            <w:tcW w:w="929" w:type="dxa"/>
            <w:shd w:val="clear" w:color="auto" w:fill="auto"/>
            <w:vAlign w:val="center"/>
          </w:tcPr>
          <w:p w14:paraId="1090E727">
            <w:pPr>
              <w:spacing w:after="120"/>
              <w:jc w:val="center"/>
              <w:rPr>
                <w:iCs/>
              </w:rPr>
            </w:pPr>
            <w:r>
              <w:rPr>
                <w:iCs/>
              </w:rPr>
              <w:t>Bộ</w:t>
            </w:r>
          </w:p>
        </w:tc>
        <w:tc>
          <w:tcPr>
            <w:tcW w:w="913" w:type="dxa"/>
            <w:shd w:val="clear" w:color="auto" w:fill="auto"/>
            <w:vAlign w:val="center"/>
          </w:tcPr>
          <w:p w14:paraId="22007BBE">
            <w:pPr>
              <w:spacing w:after="120"/>
              <w:jc w:val="center"/>
              <w:rPr>
                <w:iCs/>
              </w:rPr>
            </w:pPr>
            <w:r>
              <w:rPr>
                <w:iCs/>
              </w:rPr>
              <w:t>500</w:t>
            </w:r>
          </w:p>
        </w:tc>
      </w:tr>
      <w:tr w14:paraId="78468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746" w:type="dxa"/>
            <w:shd w:val="clear" w:color="auto" w:fill="auto"/>
            <w:vAlign w:val="center"/>
          </w:tcPr>
          <w:p w14:paraId="6898A5FD">
            <w:pPr>
              <w:spacing w:after="120"/>
              <w:jc w:val="center"/>
              <w:rPr>
                <w:iCs/>
              </w:rPr>
            </w:pPr>
            <w:r>
              <w:rPr>
                <w:iCs/>
              </w:rPr>
              <w:t>7</w:t>
            </w:r>
          </w:p>
        </w:tc>
        <w:tc>
          <w:tcPr>
            <w:tcW w:w="1539" w:type="dxa"/>
            <w:shd w:val="clear" w:color="auto" w:fill="auto"/>
            <w:vAlign w:val="center"/>
          </w:tcPr>
          <w:p w14:paraId="4324C29C">
            <w:pPr>
              <w:spacing w:after="120"/>
              <w:rPr>
                <w:iCs/>
              </w:rPr>
            </w:pPr>
            <w:r>
              <w:t>Tủ inox đựng thuốc tân dược</w:t>
            </w:r>
            <w:r>
              <w:br w:type="textWrapping"/>
            </w:r>
          </w:p>
        </w:tc>
        <w:tc>
          <w:tcPr>
            <w:tcW w:w="5479" w:type="dxa"/>
            <w:shd w:val="clear" w:color="auto" w:fill="auto"/>
            <w:vAlign w:val="center"/>
          </w:tcPr>
          <w:p w14:paraId="744AC37E">
            <w:pPr>
              <w:spacing w:after="120"/>
              <w:rPr>
                <w:iCs/>
              </w:rPr>
            </w:pPr>
            <w:r>
              <w:t xml:space="preserve"> Vật liệu: 100% bằng Inox SUS304; </w:t>
            </w:r>
            <w:r>
              <w:br w:type="textWrapping"/>
            </w:r>
            <w:r>
              <w:t>- Kích thước tổng thể: cao, rộng, sâu (1600 x 800 x 400) mm ±5%.</w:t>
            </w:r>
            <w:r>
              <w:br w:type="textWrapping"/>
            </w:r>
            <w:r>
              <w:t>- Kết cấu:</w:t>
            </w:r>
            <w:r>
              <w:br w:type="textWrapping"/>
            </w:r>
            <w:r>
              <w:t>+ Tủ chia làm hai khoang, có khóa riêng từng khoang:</w:t>
            </w:r>
            <w:r>
              <w:br w:type="textWrapping"/>
            </w:r>
            <w:r>
              <w:t>+ Khoang trên gồm một sàn nghiêng chia ô inox (có thể tháo rời hoặc lắp vào tủ bằng các tấm cài), hai cánh cửa kính và hai tủ độc có khóa; bên trong tủ độc có sàn nghiêng chia ô.</w:t>
            </w:r>
            <w:r>
              <w:br w:type="textWrapping"/>
            </w:r>
            <w:r>
              <w:t>+ Khoang dưới có một sàn inox (có thể tháo rời hoặc lắp vào tủ bằng các tấm cài), hai cánh cửa bọc inox</w:t>
            </w:r>
            <w:r>
              <w:br w:type="textWrapping"/>
            </w:r>
            <w:r>
              <w:t>+ Chân tủ đệm cao su đúc.</w:t>
            </w:r>
            <w:r>
              <w:br w:type="textWrapping"/>
            </w:r>
            <w:r>
              <w:t>+ Khung tủ, cánh tủ bằng inox hộp (25 x 25) mm, dày ≥ 1mm</w:t>
            </w:r>
            <w:r>
              <w:br w:type="textWrapping"/>
            </w:r>
            <w:r>
              <w:t>+ Đố dọc tủ bằng inox hộp (25 x 50) mm, dày ≥ 1 mm</w:t>
            </w:r>
            <w:r>
              <w:br w:type="textWrapping"/>
            </w:r>
            <w:r>
              <w:t>+ Sàn nghiêng bằng inox tấm dày ≥ 0,6 mm; inox hộp (10 x 40) mm ≥ dày 0,5 mm.</w:t>
            </w:r>
            <w:r>
              <w:br w:type="textWrapping"/>
            </w:r>
            <w:r>
              <w:t>+ Kính trắng dày ≥ 5 mm</w:t>
            </w:r>
            <w:r>
              <w:br w:type="textWrapping"/>
            </w:r>
            <w:r>
              <w:t>+ Các tấm bọc xung quanh, hồi tủ, đáy tủ bằng inox tấm, dày ≥ 0,7 mm</w:t>
            </w:r>
            <w:r>
              <w:br w:type="textWrapping"/>
            </w:r>
            <w:r>
              <w:t xml:space="preserve">+ Khóa chìm trong khung </w:t>
            </w:r>
            <w:r>
              <w:br w:type="textWrapping"/>
            </w:r>
            <w:r>
              <w:t xml:space="preserve">- Toàn bộ bề mặt Inox được xử lý điện hóa đạt độ bóng BA. </w:t>
            </w:r>
          </w:p>
        </w:tc>
        <w:tc>
          <w:tcPr>
            <w:tcW w:w="929" w:type="dxa"/>
            <w:shd w:val="clear" w:color="auto" w:fill="auto"/>
            <w:vAlign w:val="center"/>
          </w:tcPr>
          <w:p w14:paraId="733ABD65">
            <w:pPr>
              <w:spacing w:after="120"/>
              <w:jc w:val="center"/>
              <w:rPr>
                <w:iCs/>
              </w:rPr>
            </w:pPr>
            <w:r>
              <w:rPr>
                <w:iCs/>
              </w:rPr>
              <w:t>Bộ</w:t>
            </w:r>
          </w:p>
        </w:tc>
        <w:tc>
          <w:tcPr>
            <w:tcW w:w="913" w:type="dxa"/>
            <w:shd w:val="clear" w:color="auto" w:fill="auto"/>
            <w:vAlign w:val="center"/>
          </w:tcPr>
          <w:p w14:paraId="2F80B903">
            <w:pPr>
              <w:spacing w:after="120"/>
              <w:jc w:val="center"/>
              <w:rPr>
                <w:iCs/>
              </w:rPr>
            </w:pPr>
            <w:r>
              <w:rPr>
                <w:iCs/>
              </w:rPr>
              <w:t>500</w:t>
            </w:r>
          </w:p>
        </w:tc>
      </w:tr>
      <w:tr w14:paraId="42D4C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746" w:type="dxa"/>
            <w:shd w:val="clear" w:color="auto" w:fill="auto"/>
            <w:vAlign w:val="center"/>
          </w:tcPr>
          <w:p w14:paraId="440A5819">
            <w:pPr>
              <w:spacing w:after="120"/>
              <w:jc w:val="center"/>
              <w:rPr>
                <w:iCs/>
              </w:rPr>
            </w:pPr>
            <w:r>
              <w:rPr>
                <w:iCs/>
              </w:rPr>
              <w:t>8</w:t>
            </w:r>
          </w:p>
        </w:tc>
        <w:tc>
          <w:tcPr>
            <w:tcW w:w="1539" w:type="dxa"/>
            <w:shd w:val="clear" w:color="auto" w:fill="auto"/>
            <w:vAlign w:val="center"/>
          </w:tcPr>
          <w:p w14:paraId="5BE29604">
            <w:pPr>
              <w:spacing w:after="120"/>
              <w:rPr>
                <w:iCs/>
              </w:rPr>
            </w:pPr>
            <w:r>
              <w:t>Tủ sắt 6 ngăn sơn tĩnh điện</w:t>
            </w:r>
            <w:r>
              <w:br w:type="textWrapping"/>
            </w:r>
          </w:p>
        </w:tc>
        <w:tc>
          <w:tcPr>
            <w:tcW w:w="5479" w:type="dxa"/>
            <w:shd w:val="clear" w:color="auto" w:fill="auto"/>
            <w:vAlign w:val="center"/>
          </w:tcPr>
          <w:p w14:paraId="1EA1F69D">
            <w:pPr>
              <w:spacing w:after="120"/>
              <w:rPr>
                <w:iCs/>
              </w:rPr>
            </w:pPr>
            <w:r>
              <w:t xml:space="preserve"> Chất liệu: 100% sắt sơn tĩnh điện màu ghi; độ dày ≥ 0,6 mm.</w:t>
            </w:r>
            <w:r>
              <w:br w:type="textWrapping"/>
            </w:r>
            <w:r>
              <w:t>- Kích thước tổng thể: rộng, sâu, cao (915 x 450 x 1830) mm ± 5 %;</w:t>
            </w:r>
            <w:r>
              <w:br w:type="textWrapping"/>
            </w:r>
            <w:r>
              <w:t>- Kết cấu: Tủ thiết kế gồm 6 khoang cánh mở, mỗi cách có 1 khóa liền tay nắm.</w:t>
            </w:r>
          </w:p>
        </w:tc>
        <w:tc>
          <w:tcPr>
            <w:tcW w:w="929" w:type="dxa"/>
            <w:shd w:val="clear" w:color="auto" w:fill="auto"/>
            <w:vAlign w:val="center"/>
          </w:tcPr>
          <w:p w14:paraId="467EB2BC">
            <w:pPr>
              <w:spacing w:after="120"/>
              <w:jc w:val="center"/>
              <w:rPr>
                <w:iCs/>
              </w:rPr>
            </w:pPr>
            <w:r>
              <w:rPr>
                <w:iCs/>
              </w:rPr>
              <w:t>Cái</w:t>
            </w:r>
          </w:p>
        </w:tc>
        <w:tc>
          <w:tcPr>
            <w:tcW w:w="913" w:type="dxa"/>
            <w:shd w:val="clear" w:color="auto" w:fill="auto"/>
            <w:vAlign w:val="center"/>
          </w:tcPr>
          <w:p w14:paraId="059BBE00">
            <w:pPr>
              <w:spacing w:after="120"/>
              <w:jc w:val="center"/>
              <w:rPr>
                <w:iCs/>
              </w:rPr>
            </w:pPr>
            <w:r>
              <w:rPr>
                <w:iCs/>
              </w:rPr>
              <w:t xml:space="preserve">50 </w:t>
            </w:r>
          </w:p>
        </w:tc>
      </w:tr>
      <w:tr w14:paraId="4930C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trPr>
        <w:tc>
          <w:tcPr>
            <w:tcW w:w="746" w:type="dxa"/>
            <w:shd w:val="clear" w:color="auto" w:fill="auto"/>
            <w:vAlign w:val="center"/>
          </w:tcPr>
          <w:p w14:paraId="781B3520">
            <w:pPr>
              <w:spacing w:after="120"/>
              <w:jc w:val="center"/>
              <w:rPr>
                <w:iCs/>
              </w:rPr>
            </w:pPr>
            <w:r>
              <w:rPr>
                <w:iCs/>
              </w:rPr>
              <w:t>9</w:t>
            </w:r>
          </w:p>
        </w:tc>
        <w:tc>
          <w:tcPr>
            <w:tcW w:w="1539" w:type="dxa"/>
            <w:shd w:val="clear" w:color="auto" w:fill="auto"/>
            <w:vAlign w:val="center"/>
          </w:tcPr>
          <w:p w14:paraId="46D1F9CC">
            <w:pPr>
              <w:spacing w:after="120"/>
              <w:rPr>
                <w:iCs/>
              </w:rPr>
            </w:pPr>
            <w:r>
              <w:t>Tủ Sắt 9 Ngăn sơn tĩnh điện</w:t>
            </w:r>
            <w:r>
              <w:br w:type="textWrapping"/>
            </w:r>
          </w:p>
        </w:tc>
        <w:tc>
          <w:tcPr>
            <w:tcW w:w="5479" w:type="dxa"/>
            <w:shd w:val="clear" w:color="auto" w:fill="auto"/>
            <w:vAlign w:val="center"/>
          </w:tcPr>
          <w:p w14:paraId="0068D39E">
            <w:pPr>
              <w:spacing w:after="120"/>
              <w:rPr>
                <w:iCs/>
              </w:rPr>
            </w:pPr>
            <w:r>
              <w:t>Chất liệu: 100% sắt sơn tĩnh điện màu ghi; độ dày ≥ 0,6 mm.</w:t>
            </w:r>
            <w:r>
              <w:br w:type="textWrapping"/>
            </w:r>
            <w:r>
              <w:t>- Kích thước tổng thể: rộng, sâu, cao (915 x 450 x 1830) mm ± 5 %;</w:t>
            </w:r>
            <w:r>
              <w:br w:type="textWrapping"/>
            </w:r>
            <w:r>
              <w:t>- Kết cấu: Tủ chia 3 tầng, mỗi tầng 3 ngăn chứa dạng cửa mở, mỗi cánh tủ có 1 khóa,1 núm tay nắm và 1 tai khóa. Cánh tủ có ô cài Card.</w:t>
            </w:r>
          </w:p>
        </w:tc>
        <w:tc>
          <w:tcPr>
            <w:tcW w:w="929" w:type="dxa"/>
            <w:shd w:val="clear" w:color="auto" w:fill="auto"/>
            <w:vAlign w:val="center"/>
          </w:tcPr>
          <w:p w14:paraId="508AF2F8">
            <w:pPr>
              <w:spacing w:after="120"/>
              <w:jc w:val="center"/>
              <w:rPr>
                <w:iCs/>
              </w:rPr>
            </w:pPr>
            <w:r>
              <w:rPr>
                <w:iCs/>
              </w:rPr>
              <w:t>Cái</w:t>
            </w:r>
          </w:p>
        </w:tc>
        <w:tc>
          <w:tcPr>
            <w:tcW w:w="913" w:type="dxa"/>
            <w:shd w:val="clear" w:color="auto" w:fill="auto"/>
            <w:vAlign w:val="center"/>
          </w:tcPr>
          <w:p w14:paraId="7D97F220">
            <w:pPr>
              <w:spacing w:after="120"/>
              <w:jc w:val="center"/>
              <w:rPr>
                <w:iCs/>
              </w:rPr>
            </w:pPr>
            <w:r>
              <w:rPr>
                <w:iCs/>
              </w:rPr>
              <w:t>02</w:t>
            </w:r>
          </w:p>
        </w:tc>
      </w:tr>
      <w:tr w14:paraId="1AB68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trPr>
        <w:tc>
          <w:tcPr>
            <w:tcW w:w="746" w:type="dxa"/>
            <w:shd w:val="clear" w:color="auto" w:fill="auto"/>
            <w:vAlign w:val="center"/>
          </w:tcPr>
          <w:p w14:paraId="6EA7E1B8">
            <w:pPr>
              <w:spacing w:after="120"/>
              <w:jc w:val="center"/>
              <w:rPr>
                <w:iCs/>
              </w:rPr>
            </w:pPr>
            <w:r>
              <w:rPr>
                <w:iCs/>
              </w:rPr>
              <w:t>10</w:t>
            </w:r>
          </w:p>
        </w:tc>
        <w:tc>
          <w:tcPr>
            <w:tcW w:w="1539" w:type="dxa"/>
            <w:shd w:val="clear" w:color="auto" w:fill="auto"/>
            <w:vAlign w:val="center"/>
          </w:tcPr>
          <w:p w14:paraId="398B4F5F">
            <w:pPr>
              <w:spacing w:after="120"/>
              <w:rPr>
                <w:iCs/>
              </w:rPr>
            </w:pPr>
            <w:r>
              <w:t>Xe lăn vận chuyển bệnh nhân</w:t>
            </w:r>
            <w:r>
              <w:br w:type="textWrapping"/>
            </w:r>
          </w:p>
        </w:tc>
        <w:tc>
          <w:tcPr>
            <w:tcW w:w="5479" w:type="dxa"/>
            <w:shd w:val="clear" w:color="auto" w:fill="auto"/>
            <w:vAlign w:val="center"/>
          </w:tcPr>
          <w:p w14:paraId="3070CF59">
            <w:pPr>
              <w:spacing w:after="120"/>
              <w:rPr>
                <w:iCs/>
              </w:rPr>
            </w:pPr>
            <w:r>
              <w:t>Chất liệu:</w:t>
            </w:r>
            <w:r>
              <w:br w:type="textWrapping"/>
            </w:r>
            <w:r>
              <w:t>+ Toàn bộ khung, giằng, thanh chống, tấm ốp bằng inox SUS 304.</w:t>
            </w:r>
            <w:r>
              <w:br w:type="textWrapping"/>
            </w:r>
            <w:r>
              <w:t>+ Bộ bánh xe bằng vật liệu cao su đặc và thép mạ</w:t>
            </w:r>
            <w:r>
              <w:br w:type="textWrapping"/>
            </w:r>
            <w:r>
              <w:t>+ Tấm đỡ chân: Nhôm đúc/Nhựa</w:t>
            </w:r>
            <w:r>
              <w:br w:type="textWrapping"/>
            </w:r>
            <w:r>
              <w:t>+ Đệm ngồi và tựa lưng bằng vải giả da.</w:t>
            </w:r>
            <w:r>
              <w:br w:type="textWrapping"/>
            </w:r>
            <w:r>
              <w:t>- Kích thước tổng thể: dài, rộng, cao (1100 x 700 x 950) mm ±5%</w:t>
            </w:r>
            <w:r>
              <w:br w:type="textWrapping"/>
            </w:r>
            <w:r>
              <w:t>- Kết cấu:</w:t>
            </w:r>
            <w:r>
              <w:br w:type="textWrapping"/>
            </w:r>
            <w:r>
              <w:t>+ Xe được thiết kế gấp gọn được khi không sử dụng</w:t>
            </w:r>
            <w:r>
              <w:br w:type="textWrapping"/>
            </w:r>
            <w:r>
              <w:t>+ Cơ cấu phanh hãm đứng yên khi có tải.</w:t>
            </w:r>
            <w:r>
              <w:br w:type="textWrapping"/>
            </w:r>
            <w:r>
              <w:t>+ Bánh xe bằng cao su đặc, 2 bánh dẫn hướng.</w:t>
            </w:r>
            <w:r>
              <w:br w:type="textWrapping"/>
            </w:r>
            <w:r>
              <w:t>+ Khung chính bằng inox ống ≥ Ф21 mm, dày ≥ 1,0 mm.</w:t>
            </w:r>
            <w:r>
              <w:br w:type="textWrapping"/>
            </w:r>
            <w:r>
              <w:t>+Thanh chống chịu lực bằng inox ống ≥ Ф25,4 x 1,2 mm.</w:t>
            </w:r>
            <w:r>
              <w:br w:type="textWrapping"/>
            </w:r>
            <w:r>
              <w:t>+Thanh đỡ chân bằng inox ống ≥ Ф19 mm, dày ≥ 1 mm.</w:t>
            </w:r>
            <w:r>
              <w:br w:type="textWrapping"/>
            </w:r>
            <w:r>
              <w:t xml:space="preserve">+Tấm ốp sườn bằng inox dày ≥ 0,5 mm </w:t>
            </w:r>
            <w:r>
              <w:br w:type="textWrapping"/>
            </w:r>
            <w:r>
              <w:t>+ Bạc đỡ bằng inox Ф 31.8 mm, dày ≥ 1,2 mm; inox đặc Ф 16; inox đặc Ф 12.</w:t>
            </w:r>
            <w:r>
              <w:br w:type="textWrapping"/>
            </w:r>
            <w:r>
              <w:t xml:space="preserve">- Tải trọng: ≥ 90 Kg  </w:t>
            </w:r>
          </w:p>
        </w:tc>
        <w:tc>
          <w:tcPr>
            <w:tcW w:w="929" w:type="dxa"/>
            <w:shd w:val="clear" w:color="auto" w:fill="auto"/>
            <w:vAlign w:val="center"/>
          </w:tcPr>
          <w:p w14:paraId="72CF4905">
            <w:pPr>
              <w:spacing w:after="120"/>
              <w:jc w:val="center"/>
              <w:rPr>
                <w:iCs/>
              </w:rPr>
            </w:pPr>
            <w:r>
              <w:rPr>
                <w:iCs/>
              </w:rPr>
              <w:t>Cái</w:t>
            </w:r>
          </w:p>
        </w:tc>
        <w:tc>
          <w:tcPr>
            <w:tcW w:w="913" w:type="dxa"/>
            <w:shd w:val="clear" w:color="auto" w:fill="auto"/>
            <w:vAlign w:val="center"/>
          </w:tcPr>
          <w:p w14:paraId="15312DCB">
            <w:pPr>
              <w:spacing w:after="120"/>
              <w:jc w:val="center"/>
              <w:rPr>
                <w:iCs/>
              </w:rPr>
            </w:pPr>
            <w:r>
              <w:rPr>
                <w:iCs/>
              </w:rPr>
              <w:t xml:space="preserve">100   </w:t>
            </w:r>
          </w:p>
        </w:tc>
      </w:tr>
      <w:tr w14:paraId="30E0B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746" w:type="dxa"/>
            <w:shd w:val="clear" w:color="auto" w:fill="auto"/>
            <w:vAlign w:val="center"/>
          </w:tcPr>
          <w:p w14:paraId="67F21490">
            <w:pPr>
              <w:spacing w:after="120"/>
              <w:jc w:val="center"/>
              <w:rPr>
                <w:iCs/>
              </w:rPr>
            </w:pPr>
            <w:r>
              <w:rPr>
                <w:iCs/>
              </w:rPr>
              <w:t>11</w:t>
            </w:r>
          </w:p>
        </w:tc>
        <w:tc>
          <w:tcPr>
            <w:tcW w:w="1539" w:type="dxa"/>
            <w:shd w:val="clear" w:color="auto" w:fill="auto"/>
            <w:vAlign w:val="center"/>
          </w:tcPr>
          <w:p w14:paraId="4D0BC7BB">
            <w:pPr>
              <w:spacing w:after="120"/>
              <w:rPr>
                <w:iCs/>
              </w:rPr>
            </w:pPr>
            <w:r>
              <w:t>Xe tiêm 3 tầng có ngăn kéo</w:t>
            </w:r>
          </w:p>
        </w:tc>
        <w:tc>
          <w:tcPr>
            <w:tcW w:w="5479" w:type="dxa"/>
            <w:shd w:val="clear" w:color="auto" w:fill="auto"/>
            <w:vAlign w:val="center"/>
          </w:tcPr>
          <w:p w14:paraId="57FA2E98">
            <w:pPr>
              <w:spacing w:after="120"/>
              <w:rPr>
                <w:iCs/>
              </w:rPr>
            </w:pPr>
            <w:r>
              <w:t xml:space="preserve"> Chất liệu: Toàn bộ làm bằng Inox SUS304. </w:t>
            </w:r>
            <w:r>
              <w:br w:type="textWrapping"/>
            </w:r>
            <w:r>
              <w:t>- Kích thước tổng thể: dài, rộng, cao (840x540x1150) mm ±5%</w:t>
            </w:r>
            <w:r>
              <w:br w:type="textWrapping"/>
            </w:r>
            <w:r>
              <w:t>- Kết cấu:</w:t>
            </w:r>
            <w:r>
              <w:br w:type="textWrapping"/>
            </w:r>
            <w:r>
              <w:t>+ Kích thước khay: dài, rộng, sâu (820 x 520 x 18) mm ± 5%</w:t>
            </w:r>
            <w:r>
              <w:br w:type="textWrapping"/>
            </w:r>
            <w:r>
              <w:t>+ 2 khung chính, các mặt bàn và các thanh lan can.</w:t>
            </w:r>
            <w:r>
              <w:br w:type="textWrapping"/>
            </w:r>
            <w:r>
              <w:t>+ Khung chính bằng ống ≥ Ф 25 mm, độ dày ≥ 1 mm.</w:t>
            </w:r>
            <w:r>
              <w:br w:type="textWrapping"/>
            </w:r>
            <w:r>
              <w:t>+ Lan can bằng ống ≥ Ф 12 mm, độ dày ≥ 0,8 mm.</w:t>
            </w:r>
            <w:r>
              <w:br w:type="textWrapping"/>
            </w:r>
            <w:r>
              <w:t>+ Bàn có 2 ngăn kéo trượt trên ray bi, có tay nắm âm.</w:t>
            </w:r>
            <w:r>
              <w:br w:type="textWrapping"/>
            </w:r>
            <w:r>
              <w:t xml:space="preserve">+ Khay mặt bàn inox tấm dày ≥ 0,8 mm, hình chữ nhật, dập liền </w:t>
            </w:r>
            <w:r>
              <w:br w:type="textWrapping"/>
            </w:r>
            <w:r>
              <w:t>+ Ngăn kéo bằng Inox tấm dày ≥ 0,8 mm, có thay ray bi kép giúp kéo mở nhẹ nhàng.</w:t>
            </w:r>
            <w:r>
              <w:br w:type="textWrapping"/>
            </w:r>
            <w:r>
              <w:t xml:space="preserve">+ Bốn bánh xe chuyển hướng đường kính ≥ Ф 100 mm trong đó hai bánh có phanh. </w:t>
            </w:r>
            <w:r>
              <w:br w:type="textWrapping"/>
            </w:r>
            <w:r>
              <w:t>+ Có 03 giá treo xô rác.</w:t>
            </w:r>
            <w:r>
              <w:br w:type="textWrapping"/>
            </w:r>
            <w:r>
              <w:t>+ Tải trọng mỗi tầng ≥ 10 kg.</w:t>
            </w:r>
          </w:p>
        </w:tc>
        <w:tc>
          <w:tcPr>
            <w:tcW w:w="929" w:type="dxa"/>
            <w:shd w:val="clear" w:color="auto" w:fill="auto"/>
            <w:vAlign w:val="center"/>
          </w:tcPr>
          <w:p w14:paraId="33DA5902">
            <w:pPr>
              <w:spacing w:after="120"/>
              <w:jc w:val="center"/>
              <w:rPr>
                <w:iCs/>
              </w:rPr>
            </w:pPr>
            <w:r>
              <w:rPr>
                <w:iCs/>
              </w:rPr>
              <w:t>Cái</w:t>
            </w:r>
          </w:p>
        </w:tc>
        <w:tc>
          <w:tcPr>
            <w:tcW w:w="913" w:type="dxa"/>
            <w:shd w:val="clear" w:color="auto" w:fill="auto"/>
            <w:vAlign w:val="center"/>
          </w:tcPr>
          <w:p w14:paraId="5A9568C2">
            <w:pPr>
              <w:spacing w:after="120"/>
              <w:jc w:val="center"/>
              <w:rPr>
                <w:iCs/>
              </w:rPr>
            </w:pPr>
            <w:r>
              <w:rPr>
                <w:iCs/>
              </w:rPr>
              <w:t xml:space="preserve">100   </w:t>
            </w:r>
          </w:p>
        </w:tc>
      </w:tr>
      <w:tr w14:paraId="52768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0" w:hRule="atLeast"/>
        </w:trPr>
        <w:tc>
          <w:tcPr>
            <w:tcW w:w="746" w:type="dxa"/>
            <w:shd w:val="clear" w:color="auto" w:fill="auto"/>
            <w:vAlign w:val="center"/>
          </w:tcPr>
          <w:p w14:paraId="3891CC2A">
            <w:pPr>
              <w:spacing w:after="120"/>
              <w:jc w:val="center"/>
              <w:rPr>
                <w:iCs/>
              </w:rPr>
            </w:pPr>
            <w:r>
              <w:rPr>
                <w:iCs/>
              </w:rPr>
              <w:t>12</w:t>
            </w:r>
          </w:p>
        </w:tc>
        <w:tc>
          <w:tcPr>
            <w:tcW w:w="1539" w:type="dxa"/>
            <w:shd w:val="clear" w:color="auto" w:fill="auto"/>
            <w:vAlign w:val="center"/>
          </w:tcPr>
          <w:p w14:paraId="4C524A8A">
            <w:pPr>
              <w:spacing w:after="120"/>
              <w:rPr>
                <w:iCs/>
              </w:rPr>
            </w:pPr>
            <w:r>
              <w:t>Ghế chờ inox bệnh nhân 4 chỗ</w:t>
            </w:r>
            <w:r>
              <w:br w:type="textWrapping"/>
            </w:r>
          </w:p>
        </w:tc>
        <w:tc>
          <w:tcPr>
            <w:tcW w:w="5479" w:type="dxa"/>
            <w:shd w:val="clear" w:color="auto" w:fill="auto"/>
            <w:vAlign w:val="center"/>
          </w:tcPr>
          <w:p w14:paraId="0C025D76">
            <w:pPr>
              <w:spacing w:after="120"/>
              <w:rPr>
                <w:iCs/>
              </w:rPr>
            </w:pPr>
            <w:r>
              <w:t>* Cấu hình</w:t>
            </w:r>
            <w:r>
              <w:br w:type="textWrapping"/>
            </w:r>
            <w:r>
              <w:t>- Mặt ghế inox: 04 cái</w:t>
            </w:r>
            <w:r>
              <w:br w:type="textWrapping"/>
            </w:r>
            <w:r>
              <w:t>- Khung ghế inox: 01 cái</w:t>
            </w:r>
            <w:r>
              <w:br w:type="textWrapping"/>
            </w:r>
            <w:r>
              <w:t>- Chân ghế: 03 cái</w:t>
            </w:r>
            <w:r>
              <w:br w:type="textWrapping"/>
            </w:r>
            <w:r>
              <w:t>- Bộ phụ kiện tiêu chuẩn: 01 bộ</w:t>
            </w:r>
            <w:r>
              <w:br w:type="textWrapping"/>
            </w:r>
            <w:r>
              <w:t>* Đặc tính và thông số kỹ thuật</w:t>
            </w:r>
            <w:r>
              <w:br w:type="textWrapping"/>
            </w:r>
            <w:r>
              <w:t>a. Kích thước</w:t>
            </w:r>
            <w:r>
              <w:br w:type="textWrapping"/>
            </w:r>
            <w:r>
              <w:t>(dài x rộng x cao) (mm): (2160x620x410/820) ± 5%</w:t>
            </w:r>
            <w:r>
              <w:br w:type="textWrapping"/>
            </w:r>
            <w:r>
              <w:t>b. Kết cấu chung:</w:t>
            </w:r>
            <w:r>
              <w:br w:type="textWrapping"/>
            </w:r>
            <w:r>
              <w:t>- Ghế có 4 chỗ ngồi có kết cấu lắp ghép</w:t>
            </w:r>
            <w:r>
              <w:br w:type="textWrapping"/>
            </w:r>
            <w:r>
              <w:t>bằng bu lông, gồm hai bộ phận:</w:t>
            </w:r>
            <w:r>
              <w:br w:type="textWrapping"/>
            </w:r>
            <w:r>
              <w:t>+ Khung đỡ mặt ghế, bao gồm khung chịu lực và 3 chân ghế, các vị trí bắt mặt ghế có các tai đỡ được hàn chắc chắn trên khung chịu lực.</w:t>
            </w:r>
            <w:r>
              <w:br w:type="textWrapping"/>
            </w:r>
            <w:r>
              <w:t>+ Mặt ghế : Bằng inox tấm liền được uốn cong theo tư thế thoải mái cho người ngồi và được</w:t>
            </w:r>
            <w:r>
              <w:br w:type="textWrapping"/>
            </w:r>
            <w:r>
              <w:t>đục lỗ thoáng.</w:t>
            </w:r>
            <w:r>
              <w:br w:type="textWrapping"/>
            </w:r>
            <w:r>
              <w:t>Mặt ghế liên kết với khung ghế bằng bulông</w:t>
            </w:r>
            <w:r>
              <w:br w:type="textWrapping"/>
            </w:r>
            <w:r>
              <w:t xml:space="preserve">c. Vật liệu: Toàn bộ bằng inox SUS304 </w:t>
            </w:r>
            <w:r>
              <w:br w:type="textWrapping"/>
            </w:r>
            <w:r>
              <w:t>- Khung ghế: hộp 40x80x1,2 mm.</w:t>
            </w:r>
            <w:r>
              <w:br w:type="textWrapping"/>
            </w:r>
            <w:r>
              <w:t xml:space="preserve">- Chân chịu lực bằng inox hộp </w:t>
            </w:r>
            <w:r>
              <w:rPr>
                <w:lang w:val="en-US"/>
              </w:rPr>
              <w:t>(</w:t>
            </w:r>
            <w:r>
              <w:t>40x80x1,2</w:t>
            </w:r>
            <w:r>
              <w:rPr>
                <w:lang w:val="en-US"/>
              </w:rPr>
              <w:t>)</w:t>
            </w:r>
            <w:r>
              <w:t>mm và inox tấm dày 1mm; tay vịn bằng inox ống ô van 31,8 x 1,2 mm</w:t>
            </w:r>
            <w:r>
              <w:br w:type="textWrapping"/>
            </w:r>
            <w:r>
              <w:t>- Mặt ghế: bằng inox tấm dày 1mm, viền cạnh ghế bằng inox tấm dày 3mm chỉnh bằng đệm nhựa bọc inox</w:t>
            </w:r>
          </w:p>
        </w:tc>
        <w:tc>
          <w:tcPr>
            <w:tcW w:w="929" w:type="dxa"/>
            <w:shd w:val="clear" w:color="auto" w:fill="auto"/>
            <w:vAlign w:val="center"/>
          </w:tcPr>
          <w:p w14:paraId="51C83CBA">
            <w:pPr>
              <w:spacing w:after="120"/>
              <w:jc w:val="center"/>
              <w:rPr>
                <w:iCs/>
              </w:rPr>
            </w:pPr>
            <w:r>
              <w:rPr>
                <w:iCs/>
              </w:rPr>
              <w:t>Cái</w:t>
            </w:r>
          </w:p>
        </w:tc>
        <w:tc>
          <w:tcPr>
            <w:tcW w:w="913" w:type="dxa"/>
            <w:shd w:val="clear" w:color="auto" w:fill="auto"/>
            <w:vAlign w:val="center"/>
          </w:tcPr>
          <w:p w14:paraId="09CE82A4">
            <w:pPr>
              <w:spacing w:after="120"/>
              <w:jc w:val="center"/>
              <w:rPr>
                <w:iCs/>
              </w:rPr>
            </w:pPr>
            <w:r>
              <w:rPr>
                <w:iCs/>
              </w:rPr>
              <w:t xml:space="preserve">08   </w:t>
            </w:r>
          </w:p>
        </w:tc>
      </w:tr>
      <w:tr w14:paraId="0F4B6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746" w:type="dxa"/>
            <w:shd w:val="clear" w:color="auto" w:fill="auto"/>
            <w:vAlign w:val="center"/>
          </w:tcPr>
          <w:p w14:paraId="27A3835D">
            <w:pPr>
              <w:spacing w:after="120"/>
              <w:jc w:val="center"/>
              <w:rPr>
                <w:iCs/>
              </w:rPr>
            </w:pPr>
            <w:r>
              <w:rPr>
                <w:iCs/>
              </w:rPr>
              <w:t>13</w:t>
            </w:r>
          </w:p>
        </w:tc>
        <w:tc>
          <w:tcPr>
            <w:tcW w:w="1539" w:type="dxa"/>
            <w:shd w:val="clear" w:color="auto" w:fill="auto"/>
            <w:vAlign w:val="center"/>
          </w:tcPr>
          <w:p w14:paraId="46F34726">
            <w:pPr>
              <w:spacing w:after="120"/>
              <w:rPr>
                <w:iCs/>
              </w:rPr>
            </w:pPr>
            <w:r>
              <w:t>Bàn khám giường siêu âm</w:t>
            </w:r>
            <w:r>
              <w:br w:type="textWrapping"/>
            </w:r>
          </w:p>
        </w:tc>
        <w:tc>
          <w:tcPr>
            <w:tcW w:w="5479" w:type="dxa"/>
            <w:shd w:val="clear" w:color="auto" w:fill="auto"/>
            <w:vAlign w:val="center"/>
          </w:tcPr>
          <w:p w14:paraId="7DFD57C4">
            <w:pPr>
              <w:spacing w:after="120"/>
              <w:rPr>
                <w:iCs/>
              </w:rPr>
            </w:pPr>
            <w:r>
              <w:t xml:space="preserve">1. Cấu hình đồng bộ: </w:t>
            </w:r>
            <w:r>
              <w:br w:type="textWrapping"/>
            </w:r>
            <w:r>
              <w:t>- Khung giường:    01 cái</w:t>
            </w:r>
            <w:r>
              <w:br w:type="textWrapping"/>
            </w:r>
            <w:r>
              <w:t>- Khung chân:        02 cái</w:t>
            </w:r>
            <w:r>
              <w:br w:type="textWrapping"/>
            </w:r>
            <w:r>
              <w:t>- Đệm mút:             01 cái</w:t>
            </w:r>
            <w:r>
              <w:br w:type="textWrapping"/>
            </w:r>
            <w:r>
              <w:t>2. Đặc tính kỹ thuật:</w:t>
            </w:r>
            <w:r>
              <w:br w:type="textWrapping"/>
            </w:r>
            <w:r>
              <w:t xml:space="preserve">a. Kích thước (mm):   </w:t>
            </w:r>
            <w:r>
              <w:br w:type="textWrapping"/>
            </w:r>
            <w:r>
              <w:t>- Kích thước tổng thể (mm): (D1900xR650xC600) ±3% (không kể đệm)</w:t>
            </w:r>
            <w:r>
              <w:br w:type="textWrapping"/>
            </w:r>
            <w:r>
              <w:t>b. Kết cấu chung:</w:t>
            </w:r>
            <w:r>
              <w:br w:type="textWrapping"/>
            </w:r>
            <w:r>
              <w:t>+ Khung giường được lắp ghép với chân giường thông qua tấm bích và bulong chắc chắn.</w:t>
            </w:r>
            <w:r>
              <w:br w:type="textWrapping"/>
            </w:r>
            <w:r>
              <w:t>+ Giát giường bằng inox hàn liền với khung giường, gồm 2 phần: phần thân và phần nâng đầu. Phần nâng đầu có thể điều chỉnh góc nghiêng từ  0±45° bằng cơ cấu thanh răng thanh chống.</w:t>
            </w:r>
            <w:r>
              <w:br w:type="textWrapping"/>
            </w:r>
            <w:r>
              <w:t>+ Chân giường bằng inox hộp được bọc chân cao su êm.</w:t>
            </w:r>
            <w:r>
              <w:br w:type="textWrapping"/>
            </w:r>
            <w:r>
              <w:t>+ Giường sau khi lắp ráp hoàn chỉnh chắc chắn, bốn chân tiếp xúc đều trên mặt phẳng</w:t>
            </w:r>
            <w:r>
              <w:br w:type="textWrapping"/>
            </w:r>
            <w:r>
              <w:t>- Tải trọng: ≥200kg.</w:t>
            </w:r>
            <w:r>
              <w:br w:type="textWrapping"/>
            </w:r>
            <w:r>
              <w:t>c. Vật liệu:</w:t>
            </w:r>
            <w:r>
              <w:br w:type="textWrapping"/>
            </w:r>
            <w:r>
              <w:t>- Toàn bộ làm bằng inox SUS304.</w:t>
            </w:r>
            <w:r>
              <w:br w:type="textWrapping"/>
            </w:r>
            <w:r>
              <w:t xml:space="preserve">+ Khung giường bằng hộp </w:t>
            </w:r>
            <w:r>
              <w:rPr>
                <w:lang w:val="en-US"/>
              </w:rPr>
              <w:t>(</w:t>
            </w:r>
            <w:r>
              <w:t>30x60</w:t>
            </w:r>
            <w:r>
              <w:rPr>
                <w:lang w:val="en-US"/>
              </w:rPr>
              <w:t>)</w:t>
            </w:r>
            <w:r>
              <w:t>mm</w:t>
            </w:r>
            <w:r>
              <w:br w:type="textWrapping"/>
            </w:r>
            <w:r>
              <w:t xml:space="preserve">+ Giát giường bằng hộp </w:t>
            </w:r>
            <w:r>
              <w:rPr>
                <w:lang w:val="en-US"/>
              </w:rPr>
              <w:t>(</w:t>
            </w:r>
            <w:r>
              <w:t>10x40</w:t>
            </w:r>
            <w:r>
              <w:rPr>
                <w:lang w:val="en-US"/>
              </w:rPr>
              <w:t>)</w:t>
            </w:r>
            <w:r>
              <w:t>mm, phía dưới hàn trực tiếp vào các thanh thang giường bằng inox hộp 20x20mm</w:t>
            </w:r>
            <w:r>
              <w:br w:type="textWrapping"/>
            </w:r>
            <w:r>
              <w:t xml:space="preserve">+ Chân giường bằng inox hộp </w:t>
            </w:r>
            <w:r>
              <w:rPr>
                <w:lang w:val="en-US"/>
              </w:rPr>
              <w:t>(</w:t>
            </w:r>
            <w:r>
              <w:t>40x40</w:t>
            </w:r>
            <w:r>
              <w:rPr>
                <w:lang w:val="en-US"/>
              </w:rPr>
              <w:t>)</w:t>
            </w:r>
            <w:r>
              <w:t xml:space="preserve">mm; giằng chân bằng hộp </w:t>
            </w:r>
            <w:r>
              <w:rPr>
                <w:lang w:val="en-US"/>
              </w:rPr>
              <w:t>(</w:t>
            </w:r>
            <w:r>
              <w:t>25x25</w:t>
            </w:r>
            <w:r>
              <w:rPr>
                <w:lang w:val="en-US"/>
              </w:rPr>
              <w:t>)</w:t>
            </w:r>
            <w:r>
              <w:t>mm</w:t>
            </w:r>
            <w:r>
              <w:br w:type="textWrapping"/>
            </w:r>
            <w:r>
              <w:t>+ Thanh răng bằng inox tấm dày 2mm</w:t>
            </w:r>
            <w:r>
              <w:br w:type="textWrapping"/>
            </w:r>
            <w:r>
              <w:t>+ Thanh chống bằng inox tấm dày 2mm được dập gân tăng cứng</w:t>
            </w:r>
            <w:r>
              <w:br w:type="textWrapping"/>
            </w:r>
            <w:r>
              <w:t>+ Bích lắp chân bằng inox tấm dày 3mm</w:t>
            </w:r>
            <w:r>
              <w:br w:type="textWrapping"/>
            </w:r>
            <w:r>
              <w:t>- Đệm chân giường bằng cao su đúc.</w:t>
            </w:r>
            <w:r>
              <w:br w:type="textWrapping"/>
            </w:r>
            <w:r>
              <w:t>- Đệm mút 2 khúc, dày 50mm, bọc giả da không thấm nước thuận tiện cho việc vệ sinh, chịu được các chất tẩy rửa thông thường</w:t>
            </w:r>
          </w:p>
        </w:tc>
        <w:tc>
          <w:tcPr>
            <w:tcW w:w="929" w:type="dxa"/>
            <w:shd w:val="clear" w:color="auto" w:fill="auto"/>
            <w:vAlign w:val="center"/>
          </w:tcPr>
          <w:p w14:paraId="7B1CE7AC">
            <w:pPr>
              <w:spacing w:after="120"/>
              <w:jc w:val="center"/>
              <w:rPr>
                <w:iCs/>
              </w:rPr>
            </w:pPr>
            <w:r>
              <w:rPr>
                <w:iCs/>
              </w:rPr>
              <w:t>Cái</w:t>
            </w:r>
          </w:p>
        </w:tc>
        <w:tc>
          <w:tcPr>
            <w:tcW w:w="913" w:type="dxa"/>
            <w:shd w:val="clear" w:color="auto" w:fill="auto"/>
            <w:vAlign w:val="center"/>
          </w:tcPr>
          <w:p w14:paraId="1EF099DD">
            <w:pPr>
              <w:spacing w:after="120"/>
              <w:jc w:val="center"/>
              <w:rPr>
                <w:iCs/>
              </w:rPr>
            </w:pPr>
            <w:r>
              <w:rPr>
                <w:iCs/>
              </w:rPr>
              <w:t xml:space="preserve">200   </w:t>
            </w:r>
          </w:p>
        </w:tc>
      </w:tr>
      <w:tr w14:paraId="702003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746" w:type="dxa"/>
            <w:shd w:val="clear" w:color="auto" w:fill="auto"/>
            <w:vAlign w:val="center"/>
          </w:tcPr>
          <w:p w14:paraId="5ADA56B3">
            <w:pPr>
              <w:spacing w:after="120"/>
              <w:jc w:val="center"/>
              <w:rPr>
                <w:iCs/>
              </w:rPr>
            </w:pPr>
            <w:r>
              <w:rPr>
                <w:iCs/>
              </w:rPr>
              <w:t>14</w:t>
            </w:r>
          </w:p>
        </w:tc>
        <w:tc>
          <w:tcPr>
            <w:tcW w:w="1539" w:type="dxa"/>
            <w:shd w:val="clear" w:color="auto" w:fill="auto"/>
            <w:vAlign w:val="center"/>
          </w:tcPr>
          <w:p w14:paraId="053CFD74">
            <w:pPr>
              <w:spacing w:after="120"/>
              <w:rPr>
                <w:iCs/>
              </w:rPr>
            </w:pPr>
            <w:r>
              <w:t xml:space="preserve">Cáng vận chuyển bệnh nhân (03 tay quay) </w:t>
            </w:r>
          </w:p>
        </w:tc>
        <w:tc>
          <w:tcPr>
            <w:tcW w:w="5479" w:type="dxa"/>
            <w:shd w:val="clear" w:color="auto" w:fill="auto"/>
            <w:vAlign w:val="center"/>
          </w:tcPr>
          <w:p w14:paraId="0FD3F840">
            <w:pPr>
              <w:spacing w:after="120"/>
              <w:rPr>
                <w:iCs/>
              </w:rPr>
            </w:pPr>
            <w:r>
              <w:t>Cấu hình tiêu chuẩn:</w:t>
            </w:r>
            <w:r>
              <w:br w:type="textWrapping"/>
            </w:r>
            <w:r>
              <w:t>- Khung cáng: 01 chiếc</w:t>
            </w:r>
            <w:r>
              <w:br w:type="textWrapping"/>
            </w:r>
            <w:r>
              <w:t>- Tay quay: 03 chiếc</w:t>
            </w:r>
            <w:r>
              <w:br w:type="textWrapping"/>
            </w:r>
            <w:r>
              <w:t>- Bánh xe: 04 chiếc</w:t>
            </w:r>
            <w:r>
              <w:br w:type="textWrapping"/>
            </w:r>
            <w:r>
              <w:t>- Cọc truyền dịch: 02 chiếc</w:t>
            </w:r>
            <w:r>
              <w:br w:type="textWrapping"/>
            </w:r>
            <w:r>
              <w:t>- Giá đỡ bình oxy: 01 chiếc</w:t>
            </w:r>
            <w:r>
              <w:br w:type="textWrapping"/>
            </w:r>
            <w:r>
              <w:t>- Nệm: 01 chiếc</w:t>
            </w:r>
            <w:r>
              <w:br w:type="textWrapping"/>
            </w:r>
            <w:r>
              <w:t>Thông số kỹ thuật:</w:t>
            </w:r>
            <w:r>
              <w:br w:type="textWrapping"/>
            </w:r>
            <w:r>
              <w:t>- Kích thước tổng quát (dài x rộng): (1900 x 750) mm ± 5%</w:t>
            </w:r>
            <w:r>
              <w:br w:type="textWrapping"/>
            </w:r>
            <w:r>
              <w:t xml:space="preserve">- Điều chỉnh độ cao: </w:t>
            </w:r>
            <w:r>
              <w:rPr>
                <w:lang w:val="en-US"/>
              </w:rPr>
              <w:t>(</w:t>
            </w:r>
            <w:r>
              <w:t>520 ~ 750</w:t>
            </w:r>
            <w:r>
              <w:rPr>
                <w:lang w:val="en-US"/>
              </w:rPr>
              <w:t>)</w:t>
            </w:r>
            <w:r>
              <w:t xml:space="preserve"> mm ± 5%</w:t>
            </w:r>
            <w:r>
              <w:br w:type="textWrapping"/>
            </w:r>
            <w:r>
              <w:t>- Điều chỉnh phần lưng: 0 ~ 80º ± 5º</w:t>
            </w:r>
            <w:r>
              <w:br w:type="textWrapping"/>
            </w:r>
            <w:r>
              <w:t>- Điều chỉnh phần chân: 0 ~ 40º ± 5º</w:t>
            </w:r>
            <w:r>
              <w:br w:type="textWrapping"/>
            </w:r>
            <w:r>
              <w:t>- Điều chỉnh các chức năng bằng tay quay, có thể gập gọn lại khi không sử dụng</w:t>
            </w:r>
            <w:r>
              <w:br w:type="textWrapping"/>
            </w:r>
            <w:r>
              <w:t>- Khung cáng được làm bằng vật liệu inox 304 không gỉ độ bền cao, bốn góc cáng được bo tròn</w:t>
            </w:r>
            <w:r>
              <w:br w:type="textWrapping"/>
            </w:r>
            <w:r>
              <w:t>- Chiều dài thanh chắn bằng ¾ chiều dài giường, dễ dàng nâng hạ</w:t>
            </w:r>
            <w:r>
              <w:br w:type="textWrapping"/>
            </w:r>
            <w:r>
              <w:t>- Thanh chắn hàn trực tiếp vào cáng, được làm từ nhôm và thép không gỉ</w:t>
            </w:r>
            <w:r>
              <w:br w:type="textWrapping"/>
            </w:r>
            <w:r>
              <w:t>- Bánh xe có đường kính 150 mm, trang bị 03 bánh xe có khóa cố định và 01 bánh xe dẫn hướng, an toàn khi sử dụng</w:t>
            </w:r>
            <w:r>
              <w:br w:type="textWrapping"/>
            </w:r>
            <w:r>
              <w:t>- Móc treo ở cả hai bên giường, tạo sự tiện lợi và linh hoạt cho việc sử dụng</w:t>
            </w:r>
            <w:r>
              <w:br w:type="textWrapping"/>
            </w:r>
            <w:r>
              <w:t>- Khung giá đỡ bình oxy được thiết kế theo dạng ngang và đặt ở phía dưới cáng</w:t>
            </w:r>
            <w:r>
              <w:br w:type="textWrapping"/>
            </w:r>
            <w:r>
              <w:t>- Xung quanh thành cáng có lớp chống va đập</w:t>
            </w:r>
            <w:r>
              <w:br w:type="textWrapping"/>
            </w:r>
            <w:r>
              <w:t>- Cọc truyền liền cáng, làm bằng thép không gỉ, có thể gập xuống khi không sử dụng</w:t>
            </w:r>
            <w:r>
              <w:br w:type="textWrapping"/>
            </w:r>
            <w:r>
              <w:t>- Nệm mút dày được bọc da chống thấm nước, dễ dàng vệ sinh</w:t>
            </w:r>
            <w:r>
              <w:br w:type="textWrapping"/>
            </w:r>
            <w:r>
              <w:t>- Tải trọng tối đa: 200 kg</w:t>
            </w:r>
          </w:p>
        </w:tc>
        <w:tc>
          <w:tcPr>
            <w:tcW w:w="929" w:type="dxa"/>
            <w:shd w:val="clear" w:color="auto" w:fill="auto"/>
            <w:vAlign w:val="center"/>
          </w:tcPr>
          <w:p w14:paraId="51E77010">
            <w:pPr>
              <w:spacing w:after="120"/>
              <w:jc w:val="center"/>
              <w:rPr>
                <w:iCs/>
              </w:rPr>
            </w:pPr>
            <w:r>
              <w:rPr>
                <w:iCs/>
              </w:rPr>
              <w:t>Cái</w:t>
            </w:r>
          </w:p>
        </w:tc>
        <w:tc>
          <w:tcPr>
            <w:tcW w:w="913" w:type="dxa"/>
            <w:shd w:val="clear" w:color="auto" w:fill="auto"/>
            <w:vAlign w:val="center"/>
          </w:tcPr>
          <w:p w14:paraId="36C2F439">
            <w:pPr>
              <w:spacing w:after="120"/>
              <w:jc w:val="center"/>
              <w:rPr>
                <w:iCs/>
              </w:rPr>
            </w:pPr>
            <w:r>
              <w:rPr>
                <w:iCs/>
              </w:rPr>
              <w:t xml:space="preserve">100   </w:t>
            </w:r>
          </w:p>
        </w:tc>
      </w:tr>
      <w:tr w14:paraId="02604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746" w:type="dxa"/>
            <w:shd w:val="clear" w:color="auto" w:fill="auto"/>
            <w:vAlign w:val="center"/>
          </w:tcPr>
          <w:p w14:paraId="17313D54">
            <w:pPr>
              <w:spacing w:after="120"/>
              <w:jc w:val="center"/>
              <w:rPr>
                <w:iCs/>
              </w:rPr>
            </w:pPr>
            <w:r>
              <w:rPr>
                <w:iCs/>
              </w:rPr>
              <w:t>15</w:t>
            </w:r>
          </w:p>
        </w:tc>
        <w:tc>
          <w:tcPr>
            <w:tcW w:w="1539" w:type="dxa"/>
            <w:shd w:val="clear" w:color="auto" w:fill="auto"/>
            <w:vAlign w:val="center"/>
          </w:tcPr>
          <w:p w14:paraId="570A7E61">
            <w:pPr>
              <w:spacing w:after="120"/>
              <w:rPr>
                <w:iCs/>
              </w:rPr>
            </w:pPr>
            <w:r>
              <w:t>Cáng tay trên xe cứu thương</w:t>
            </w:r>
            <w:r>
              <w:br w:type="page"/>
            </w:r>
            <w:r>
              <w:t xml:space="preserve"> </w:t>
            </w:r>
          </w:p>
        </w:tc>
        <w:tc>
          <w:tcPr>
            <w:tcW w:w="5479" w:type="dxa"/>
            <w:shd w:val="clear" w:color="auto" w:fill="auto"/>
            <w:vAlign w:val="center"/>
          </w:tcPr>
          <w:p w14:paraId="48745F7C">
            <w:r>
              <w:t xml:space="preserve"> Thông số kỹ thuật:</w:t>
            </w:r>
          </w:p>
          <w:p w14:paraId="337FF6FB">
            <w:r>
              <w:br w:type="page"/>
            </w:r>
            <w:r>
              <w:t>+ Kích thước cáng mở rộng: 185cm x 50cm x 4cm</w:t>
            </w:r>
            <w:r>
              <w:br w:type="page"/>
            </w:r>
          </w:p>
          <w:p w14:paraId="4F32DA58">
            <w:r>
              <w:t>+ Kích thước cáng gấp gọn: 94cm x 50cm x 7cm</w:t>
            </w:r>
            <w:r>
              <w:br w:type="page"/>
            </w:r>
          </w:p>
          <w:p w14:paraId="6CEF2FAB">
            <w:r>
              <w:t>+ Trọng lượng cáng: 9.5 kg</w:t>
            </w:r>
            <w:r>
              <w:br w:type="page"/>
            </w:r>
          </w:p>
          <w:p w14:paraId="2F049AD3">
            <w:r>
              <w:t>+ Trọng tải cáng: &lt; 159kg</w:t>
            </w:r>
            <w:r>
              <w:br w:type="page"/>
            </w:r>
          </w:p>
          <w:p w14:paraId="489F384A">
            <w:pPr>
              <w:spacing w:after="120"/>
              <w:rPr>
                <w:iCs/>
              </w:rPr>
            </w:pPr>
            <w:r>
              <w:t>+ Chất liệu: nhựa PE chất lượng cao, bền bỉ, chống thấm nước, dễ vệ sinh</w:t>
            </w:r>
          </w:p>
        </w:tc>
        <w:tc>
          <w:tcPr>
            <w:tcW w:w="929" w:type="dxa"/>
            <w:shd w:val="clear" w:color="auto" w:fill="auto"/>
            <w:vAlign w:val="center"/>
          </w:tcPr>
          <w:p w14:paraId="1F3F3BB0">
            <w:pPr>
              <w:spacing w:after="120"/>
              <w:jc w:val="center"/>
              <w:rPr>
                <w:iCs/>
              </w:rPr>
            </w:pPr>
            <w:r>
              <w:rPr>
                <w:iCs/>
              </w:rPr>
              <w:t>Bộ</w:t>
            </w:r>
          </w:p>
        </w:tc>
        <w:tc>
          <w:tcPr>
            <w:tcW w:w="913" w:type="dxa"/>
            <w:shd w:val="clear" w:color="auto" w:fill="auto"/>
            <w:vAlign w:val="center"/>
          </w:tcPr>
          <w:p w14:paraId="57E18961">
            <w:pPr>
              <w:spacing w:after="120"/>
              <w:jc w:val="center"/>
              <w:rPr>
                <w:iCs/>
              </w:rPr>
            </w:pPr>
            <w:r>
              <w:rPr>
                <w:iCs/>
              </w:rPr>
              <w:t xml:space="preserve">100   </w:t>
            </w:r>
          </w:p>
        </w:tc>
      </w:tr>
      <w:tr w14:paraId="0EEA55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746" w:type="dxa"/>
            <w:shd w:val="clear" w:color="auto" w:fill="auto"/>
            <w:vAlign w:val="center"/>
          </w:tcPr>
          <w:p w14:paraId="41D6ABEF">
            <w:pPr>
              <w:spacing w:after="120"/>
              <w:jc w:val="center"/>
              <w:rPr>
                <w:iCs/>
              </w:rPr>
            </w:pPr>
            <w:r>
              <w:rPr>
                <w:iCs/>
              </w:rPr>
              <w:t>16</w:t>
            </w:r>
          </w:p>
        </w:tc>
        <w:tc>
          <w:tcPr>
            <w:tcW w:w="1539" w:type="dxa"/>
            <w:shd w:val="clear" w:color="auto" w:fill="auto"/>
            <w:vAlign w:val="center"/>
          </w:tcPr>
          <w:p w14:paraId="638EBA87">
            <w:pPr>
              <w:spacing w:after="120"/>
              <w:rPr>
                <w:iCs/>
              </w:rPr>
            </w:pPr>
            <w:r>
              <w:t>Xe Đẩy Cáng Cứu Thương</w:t>
            </w:r>
          </w:p>
        </w:tc>
        <w:tc>
          <w:tcPr>
            <w:tcW w:w="5479" w:type="dxa"/>
            <w:shd w:val="clear" w:color="auto" w:fill="auto"/>
            <w:vAlign w:val="center"/>
          </w:tcPr>
          <w:p w14:paraId="7596C18E">
            <w:pPr>
              <w:spacing w:after="120"/>
              <w:rPr>
                <w:iCs/>
              </w:rPr>
            </w:pPr>
            <w:r>
              <w:t>Thông số Chi tiết</w:t>
            </w:r>
            <w:r>
              <w:br w:type="textWrapping"/>
            </w:r>
            <w:r>
              <w:t>Chất liệu khung Hợp kim nhôm cao cấp</w:t>
            </w:r>
            <w:r>
              <w:br w:type="textWrapping"/>
            </w:r>
            <w:r>
              <w:t xml:space="preserve">Kích thước mở </w:t>
            </w:r>
            <w:r>
              <w:rPr>
                <w:lang w:val="en-US"/>
              </w:rPr>
              <w:t>(</w:t>
            </w:r>
            <w:r>
              <w:t>1960 × 550 × 880</w:t>
            </w:r>
            <w:r>
              <w:rPr>
                <w:lang w:val="en-US"/>
              </w:rPr>
              <w:t>)</w:t>
            </w:r>
            <w:r>
              <w:t xml:space="preserve"> mm</w:t>
            </w:r>
            <w:r>
              <w:br w:type="textWrapping"/>
            </w:r>
            <w:r>
              <w:t xml:space="preserve">Kích thước gấp </w:t>
            </w:r>
            <w:r>
              <w:rPr>
                <w:lang w:val="en-US"/>
              </w:rPr>
              <w:t>(</w:t>
            </w:r>
            <w:r>
              <w:t>1960 × 550 × 260</w:t>
            </w:r>
            <w:r>
              <w:rPr>
                <w:lang w:val="en-US"/>
              </w:rPr>
              <w:t>)</w:t>
            </w:r>
            <w:r>
              <w:t>mm</w:t>
            </w:r>
            <w:r>
              <w:br w:type="textWrapping"/>
            </w:r>
            <w:r>
              <w:t>Tải trọng tối đa 181 kg</w:t>
            </w:r>
            <w:r>
              <w:br w:type="textWrapping"/>
            </w:r>
            <w:r>
              <w:t>Trọng lượng sản phẩm 33 kg</w:t>
            </w:r>
            <w:r>
              <w:br w:type="textWrapping"/>
            </w:r>
            <w:r>
              <w:t>Bánh xe 4 bánh có khóa, chịu lực, xoay 360°</w:t>
            </w:r>
            <w:r>
              <w:br w:type="textWrapping"/>
            </w:r>
            <w:r>
              <w:t>Chức năng điều chỉnh Có thể nâng đầu, hạ thấp, gấp gọn</w:t>
            </w:r>
          </w:p>
        </w:tc>
        <w:tc>
          <w:tcPr>
            <w:tcW w:w="929" w:type="dxa"/>
            <w:shd w:val="clear" w:color="auto" w:fill="auto"/>
            <w:vAlign w:val="center"/>
          </w:tcPr>
          <w:p w14:paraId="338C4FBC">
            <w:pPr>
              <w:spacing w:after="120"/>
              <w:jc w:val="center"/>
              <w:rPr>
                <w:iCs/>
              </w:rPr>
            </w:pPr>
            <w:r>
              <w:rPr>
                <w:iCs/>
              </w:rPr>
              <w:t>Gói</w:t>
            </w:r>
          </w:p>
        </w:tc>
        <w:tc>
          <w:tcPr>
            <w:tcW w:w="913" w:type="dxa"/>
            <w:shd w:val="clear" w:color="auto" w:fill="auto"/>
            <w:vAlign w:val="center"/>
          </w:tcPr>
          <w:p w14:paraId="28DBAF8C">
            <w:pPr>
              <w:spacing w:after="120"/>
              <w:jc w:val="center"/>
              <w:rPr>
                <w:iCs/>
              </w:rPr>
            </w:pPr>
            <w:r>
              <w:rPr>
                <w:iCs/>
              </w:rPr>
              <w:t xml:space="preserve">50   </w:t>
            </w:r>
          </w:p>
        </w:tc>
      </w:tr>
      <w:tr w14:paraId="26C1B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46" w:type="dxa"/>
            <w:shd w:val="clear" w:color="auto" w:fill="auto"/>
            <w:vAlign w:val="center"/>
          </w:tcPr>
          <w:p w14:paraId="4EEFCE59">
            <w:pPr>
              <w:spacing w:after="120"/>
              <w:jc w:val="center"/>
              <w:rPr>
                <w:iCs/>
              </w:rPr>
            </w:pPr>
            <w:r>
              <w:rPr>
                <w:iCs/>
              </w:rPr>
              <w:t>17</w:t>
            </w:r>
          </w:p>
        </w:tc>
        <w:tc>
          <w:tcPr>
            <w:tcW w:w="1539" w:type="dxa"/>
            <w:shd w:val="clear" w:color="auto" w:fill="auto"/>
            <w:vAlign w:val="center"/>
          </w:tcPr>
          <w:p w14:paraId="60CC1754">
            <w:pPr>
              <w:spacing w:after="120"/>
              <w:rPr>
                <w:iCs/>
              </w:rPr>
            </w:pPr>
            <w:r>
              <w:t xml:space="preserve">Giá để thuốc 4 tầng </w:t>
            </w:r>
            <w:r>
              <w:br w:type="textWrapping"/>
            </w:r>
          </w:p>
        </w:tc>
        <w:tc>
          <w:tcPr>
            <w:tcW w:w="5479" w:type="dxa"/>
            <w:shd w:val="clear" w:color="auto" w:fill="auto"/>
            <w:vAlign w:val="center"/>
          </w:tcPr>
          <w:p w14:paraId="10A7DA0B">
            <w:pPr>
              <w:spacing w:after="120"/>
              <w:rPr>
                <w:iCs/>
              </w:rPr>
            </w:pPr>
            <w:r>
              <w:t>I. Cấu hình cơ bản:</w:t>
            </w:r>
            <w:r>
              <w:br w:type="textWrapping"/>
            </w:r>
            <w:r>
              <w:t>- Chân giá:                    04 cái</w:t>
            </w:r>
            <w:r>
              <w:br w:type="textWrapping"/>
            </w:r>
            <w:r>
              <w:t>- Giằng ngang chân:     04 cái</w:t>
            </w:r>
            <w:r>
              <w:br w:type="textWrapping"/>
            </w:r>
            <w:r>
              <w:t>- Giằng chéo chân:       04 cái</w:t>
            </w:r>
            <w:r>
              <w:br w:type="textWrapping"/>
            </w:r>
            <w:r>
              <w:t>- Sàn :                           04 cái</w:t>
            </w:r>
            <w:r>
              <w:br w:type="textWrapping"/>
            </w:r>
            <w:r>
              <w:t>- Thanh beam:              08 cái</w:t>
            </w:r>
            <w:r>
              <w:br w:type="textWrapping"/>
            </w:r>
            <w:r>
              <w:t>- Bulông + êcu:            01 bộ</w:t>
            </w:r>
            <w:r>
              <w:br w:type="textWrapping"/>
            </w:r>
            <w:r>
              <w:t xml:space="preserve">II. Đặc tính kỹ thuật: </w:t>
            </w:r>
            <w:r>
              <w:br w:type="textWrapping"/>
            </w:r>
            <w:r>
              <w:t xml:space="preserve">1. Phạm vi sử dụng: Kê hàng hóa bảo quản trong kho </w:t>
            </w:r>
            <w:r>
              <w:br w:type="textWrapping"/>
            </w:r>
            <w:r>
              <w:t>2. Thông số kỹ thuật:</w:t>
            </w:r>
            <w:r>
              <w:br w:type="textWrapping"/>
            </w:r>
            <w:r>
              <w:t xml:space="preserve">a. Cấu tạo, kết cấu : </w:t>
            </w:r>
            <w:r>
              <w:br w:type="textWrapping"/>
            </w:r>
            <w:r>
              <w:t xml:space="preserve">+ Giá kê hàng 4 sàn được lắp ghép bằng cơ cấu bulông êcu  </w:t>
            </w:r>
            <w:r>
              <w:br w:type="textWrapping"/>
            </w:r>
            <w:r>
              <w:t xml:space="preserve">+ Có thể lắp lẫn; các sàn là dạng tấm gấp liền phía dưới có tăng cứng, khoảng cách các tầng có thể thay đổi chiều cao </w:t>
            </w:r>
            <w:r>
              <w:br w:type="textWrapping"/>
            </w:r>
            <w:r>
              <w:t>b. Vật liệu chính : Bằng thép tấm</w:t>
            </w:r>
            <w:r>
              <w:br w:type="textWrapping"/>
            </w:r>
            <w:r>
              <w:t>- Khung chân: Thép omega; kích thước: (60x50) ± 0,2 mm</w:t>
            </w:r>
            <w:r>
              <w:br w:type="textWrapping"/>
            </w:r>
            <w:r>
              <w:t>- Mặt sàn: Dày 0,8 mm</w:t>
            </w:r>
            <w:r>
              <w:br w:type="textWrapping"/>
            </w:r>
            <w:r>
              <w:t>- Thanh beam: Kích thước (85x30) ± 0,2 mm</w:t>
            </w:r>
            <w:r>
              <w:br w:type="textWrapping"/>
            </w:r>
            <w:r>
              <w:t>- Thanh giằng chéo, giằng ngang: Kích thước (40x20) ± 0,2 mm</w:t>
            </w:r>
            <w:r>
              <w:br w:type="textWrapping"/>
            </w:r>
            <w:r>
              <w:t>c. Thông số kỹ thuật :</w:t>
            </w:r>
            <w:r>
              <w:br w:type="textWrapping"/>
            </w:r>
            <w:r>
              <w:t>- Kích thước tổng thể (DxRxC): (2000 x 600 x 2000) ± 10mm</w:t>
            </w:r>
          </w:p>
        </w:tc>
        <w:tc>
          <w:tcPr>
            <w:tcW w:w="929" w:type="dxa"/>
            <w:shd w:val="clear" w:color="auto" w:fill="auto"/>
            <w:vAlign w:val="center"/>
          </w:tcPr>
          <w:p w14:paraId="12649A63">
            <w:pPr>
              <w:spacing w:after="120"/>
              <w:jc w:val="center"/>
              <w:rPr>
                <w:iCs/>
              </w:rPr>
            </w:pPr>
            <w:r>
              <w:rPr>
                <w:iCs/>
              </w:rPr>
              <w:t>Kg</w:t>
            </w:r>
          </w:p>
        </w:tc>
        <w:tc>
          <w:tcPr>
            <w:tcW w:w="913" w:type="dxa"/>
            <w:shd w:val="clear" w:color="auto" w:fill="auto"/>
            <w:vAlign w:val="center"/>
          </w:tcPr>
          <w:p w14:paraId="388378E5">
            <w:pPr>
              <w:spacing w:after="120"/>
              <w:jc w:val="center"/>
              <w:rPr>
                <w:iCs/>
              </w:rPr>
            </w:pPr>
            <w:r>
              <w:rPr>
                <w:iCs/>
              </w:rPr>
              <w:t xml:space="preserve">30   </w:t>
            </w:r>
          </w:p>
        </w:tc>
      </w:tr>
      <w:tr w14:paraId="6FD4D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46" w:type="dxa"/>
            <w:shd w:val="clear" w:color="auto" w:fill="auto"/>
            <w:vAlign w:val="center"/>
          </w:tcPr>
          <w:p w14:paraId="7027D550">
            <w:pPr>
              <w:spacing w:after="120"/>
              <w:jc w:val="center"/>
              <w:rPr>
                <w:iCs/>
              </w:rPr>
            </w:pPr>
            <w:r>
              <w:rPr>
                <w:iCs/>
              </w:rPr>
              <w:t>18</w:t>
            </w:r>
          </w:p>
        </w:tc>
        <w:tc>
          <w:tcPr>
            <w:tcW w:w="1539" w:type="dxa"/>
            <w:shd w:val="clear" w:color="auto" w:fill="auto"/>
            <w:vAlign w:val="center"/>
          </w:tcPr>
          <w:p w14:paraId="432F45EA">
            <w:pPr>
              <w:spacing w:after="120"/>
              <w:rPr>
                <w:iCs/>
              </w:rPr>
            </w:pPr>
            <w:r>
              <w:t xml:space="preserve">Tủ inox không cánh </w:t>
            </w:r>
            <w:r>
              <w:br w:type="textWrapping"/>
            </w:r>
          </w:p>
        </w:tc>
        <w:tc>
          <w:tcPr>
            <w:tcW w:w="5479" w:type="dxa"/>
            <w:shd w:val="clear" w:color="auto" w:fill="auto"/>
            <w:vAlign w:val="center"/>
          </w:tcPr>
          <w:p w14:paraId="0799F28F">
            <w:pPr>
              <w:spacing w:after="120"/>
              <w:rPr>
                <w:iCs/>
              </w:rPr>
            </w:pPr>
            <w:r>
              <w:t>I. Cấu hình cơ bản:</w:t>
            </w:r>
            <w:r>
              <w:br w:type="textWrapping"/>
            </w:r>
            <w:r>
              <w:t>- Giá để dụng cụ: 01 cái</w:t>
            </w:r>
            <w:r>
              <w:br w:type="textWrapping"/>
            </w:r>
            <w:r>
              <w:t>- Chân tăng chỉnh: 06 cái</w:t>
            </w:r>
            <w:r>
              <w:br w:type="textWrapping"/>
            </w:r>
            <w:r>
              <w:t>II. Đặc tính kỹ thuật:</w:t>
            </w:r>
            <w:r>
              <w:br w:type="textWrapping"/>
            </w:r>
            <w:r>
              <w:t>Kích thước tổng thể (Dài x Rộng x Cao) mm: (1500x500x1600)mm ± 3%</w:t>
            </w:r>
            <w:r>
              <w:br w:type="textWrapping"/>
            </w:r>
            <w:r>
              <w:t>Chất liệu: Toàn bộ bằng inox Sus 304</w:t>
            </w:r>
            <w:r>
              <w:br w:type="textWrapping"/>
            </w:r>
            <w:r>
              <w:t>- Khung giá Inox hộp 40x40x1 mm</w:t>
            </w:r>
            <w:r>
              <w:br w:type="textWrapping"/>
            </w:r>
            <w:r>
              <w:t>- Mặt nóc &amp; Sàn tầng Inox tấm 0.8 mm</w:t>
            </w:r>
            <w:r>
              <w:br w:type="textWrapping"/>
            </w:r>
            <w:r>
              <w:t xml:space="preserve">- Tăng cứng, chèn cạnh sàn Inox hộp </w:t>
            </w:r>
            <w:r>
              <w:rPr>
                <w:lang w:val="en-US"/>
              </w:rPr>
              <w:t>(</w:t>
            </w:r>
            <w:r>
              <w:t>30x30x0.6</w:t>
            </w:r>
            <w:r>
              <w:rPr>
                <w:lang w:val="en-US"/>
              </w:rPr>
              <w:t>)</w:t>
            </w:r>
            <w:r>
              <w:t xml:space="preserve"> mm</w:t>
            </w:r>
            <w:r>
              <w:br w:type="textWrapping"/>
            </w:r>
            <w:r>
              <w:t>- Hồi &amp; Hậu bằng Inox tấm 0.6 mm</w:t>
            </w:r>
            <w:r>
              <w:br w:type="textWrapping"/>
            </w:r>
            <w:r>
              <w:t>- Hệ thống chân đế 06 chân trụ, tích hợp chân tăng chỉnh chiều cao</w:t>
            </w:r>
          </w:p>
        </w:tc>
        <w:tc>
          <w:tcPr>
            <w:tcW w:w="929" w:type="dxa"/>
            <w:shd w:val="clear" w:color="auto" w:fill="auto"/>
            <w:vAlign w:val="center"/>
          </w:tcPr>
          <w:p w14:paraId="37FB158B">
            <w:pPr>
              <w:spacing w:after="120"/>
              <w:jc w:val="center"/>
              <w:rPr>
                <w:iCs/>
              </w:rPr>
            </w:pPr>
            <w:r>
              <w:rPr>
                <w:iCs/>
              </w:rPr>
              <w:t>Cái</w:t>
            </w:r>
          </w:p>
        </w:tc>
        <w:tc>
          <w:tcPr>
            <w:tcW w:w="913" w:type="dxa"/>
            <w:shd w:val="clear" w:color="auto" w:fill="auto"/>
            <w:vAlign w:val="center"/>
          </w:tcPr>
          <w:p w14:paraId="367634D0">
            <w:pPr>
              <w:spacing w:after="120"/>
              <w:jc w:val="center"/>
              <w:rPr>
                <w:iCs/>
              </w:rPr>
            </w:pPr>
            <w:r>
              <w:rPr>
                <w:iCs/>
              </w:rPr>
              <w:t xml:space="preserve">30   </w:t>
            </w:r>
          </w:p>
        </w:tc>
      </w:tr>
      <w:tr w14:paraId="0013F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746" w:type="dxa"/>
            <w:shd w:val="clear" w:color="auto" w:fill="auto"/>
            <w:vAlign w:val="center"/>
          </w:tcPr>
          <w:p w14:paraId="5316E81A">
            <w:pPr>
              <w:spacing w:after="120"/>
              <w:jc w:val="center"/>
              <w:rPr>
                <w:iCs/>
              </w:rPr>
            </w:pPr>
            <w:r>
              <w:rPr>
                <w:iCs/>
              </w:rPr>
              <w:t>19</w:t>
            </w:r>
          </w:p>
        </w:tc>
        <w:tc>
          <w:tcPr>
            <w:tcW w:w="1539" w:type="dxa"/>
            <w:shd w:val="clear" w:color="auto" w:fill="auto"/>
            <w:vAlign w:val="center"/>
          </w:tcPr>
          <w:p w14:paraId="30D31094">
            <w:pPr>
              <w:spacing w:after="120"/>
              <w:rPr>
                <w:iCs/>
              </w:rPr>
            </w:pPr>
            <w:r>
              <w:t>Tủ thuốc nhà thuốc 6 tầng</w:t>
            </w:r>
          </w:p>
        </w:tc>
        <w:tc>
          <w:tcPr>
            <w:tcW w:w="5479" w:type="dxa"/>
            <w:shd w:val="clear" w:color="auto" w:fill="auto"/>
            <w:vAlign w:val="center"/>
          </w:tcPr>
          <w:p w14:paraId="2C2FBD28">
            <w:pPr>
              <w:spacing w:after="120"/>
              <w:rPr>
                <w:iCs/>
              </w:rPr>
            </w:pPr>
            <w:r>
              <w:t xml:space="preserve">- Chất liệu chính: Gỗ MDF chống ẩm phủ melamine dày 17mm, có cánh kính </w:t>
            </w:r>
            <w:r>
              <w:br w:type="textWrapping"/>
            </w:r>
            <w:r>
              <w:t>+ Hông tủ kích thước: (1800 x 400 x 17)mm</w:t>
            </w:r>
            <w:r>
              <w:br w:type="textWrapping"/>
            </w:r>
            <w:r>
              <w:t>+ Đỉnh tủ và đáy tủ kích thước: (1000 x 400 x 17)mm</w:t>
            </w:r>
            <w:r>
              <w:br w:type="textWrapping"/>
            </w:r>
            <w:r>
              <w:t>+ Đợt tủ kích thước: (968 x 368 x 17)mm</w:t>
            </w:r>
            <w:r>
              <w:br w:type="textWrapping"/>
            </w:r>
            <w:r>
              <w:t>- Lưng tủ làm bằng chất liệu HDF kích thước: (1800 x 1000 x 5)mm</w:t>
            </w:r>
            <w:r>
              <w:br w:type="textWrapping"/>
            </w:r>
            <w:r>
              <w:t>- Kích thước tổng thể: cao, rộng, sâu (1800 x 1000 x 400) mm ±5%.</w:t>
            </w:r>
            <w:r>
              <w:br w:type="textWrapping"/>
            </w:r>
            <w:r>
              <w:t>- Kết cấu:</w:t>
            </w:r>
            <w:r>
              <w:br w:type="textWrapping"/>
            </w:r>
            <w:r>
              <w:t>+ Tủ chia làm 6 tầng, mỗi tầng cao 300mm, có cánh kính.</w:t>
            </w:r>
            <w:r>
              <w:br w:type="textWrapping"/>
            </w:r>
            <w:r>
              <w:t>+ Kính trắng dày ≥ 5 mm</w:t>
            </w:r>
          </w:p>
        </w:tc>
        <w:tc>
          <w:tcPr>
            <w:tcW w:w="929" w:type="dxa"/>
            <w:shd w:val="clear" w:color="auto" w:fill="auto"/>
            <w:vAlign w:val="center"/>
          </w:tcPr>
          <w:p w14:paraId="3E7874A2">
            <w:pPr>
              <w:spacing w:after="120"/>
              <w:jc w:val="center"/>
              <w:rPr>
                <w:iCs/>
              </w:rPr>
            </w:pPr>
            <w:r>
              <w:rPr>
                <w:iCs/>
              </w:rPr>
              <w:t>Cái</w:t>
            </w:r>
          </w:p>
        </w:tc>
        <w:tc>
          <w:tcPr>
            <w:tcW w:w="913" w:type="dxa"/>
            <w:shd w:val="clear" w:color="auto" w:fill="auto"/>
            <w:vAlign w:val="center"/>
          </w:tcPr>
          <w:p w14:paraId="2E1F412C">
            <w:pPr>
              <w:spacing w:after="120"/>
              <w:jc w:val="center"/>
              <w:rPr>
                <w:iCs/>
              </w:rPr>
            </w:pPr>
            <w:r>
              <w:rPr>
                <w:iCs/>
              </w:rPr>
              <w:t xml:space="preserve">50   </w:t>
            </w:r>
          </w:p>
        </w:tc>
      </w:tr>
      <w:tr w14:paraId="7E1B97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46" w:type="dxa"/>
            <w:shd w:val="clear" w:color="auto" w:fill="auto"/>
            <w:vAlign w:val="center"/>
          </w:tcPr>
          <w:p w14:paraId="1839B7FD">
            <w:pPr>
              <w:spacing w:after="120"/>
              <w:jc w:val="center"/>
              <w:rPr>
                <w:iCs/>
              </w:rPr>
            </w:pPr>
            <w:r>
              <w:rPr>
                <w:iCs/>
              </w:rPr>
              <w:t>20</w:t>
            </w:r>
          </w:p>
        </w:tc>
        <w:tc>
          <w:tcPr>
            <w:tcW w:w="1539" w:type="dxa"/>
            <w:shd w:val="clear" w:color="auto" w:fill="auto"/>
            <w:vAlign w:val="center"/>
          </w:tcPr>
          <w:p w14:paraId="79542186">
            <w:pPr>
              <w:spacing w:after="120"/>
              <w:rPr>
                <w:iCs/>
              </w:rPr>
            </w:pPr>
            <w:r>
              <w:t>Tủ thuốc nhà thuốc 5 tầng</w:t>
            </w:r>
          </w:p>
        </w:tc>
        <w:tc>
          <w:tcPr>
            <w:tcW w:w="5479" w:type="dxa"/>
            <w:shd w:val="clear" w:color="auto" w:fill="auto"/>
            <w:vAlign w:val="center"/>
          </w:tcPr>
          <w:p w14:paraId="2B971D84">
            <w:pPr>
              <w:spacing w:after="120"/>
              <w:rPr>
                <w:iCs/>
              </w:rPr>
            </w:pPr>
            <w:r>
              <w:t>- Chất liệu: Gỗ MDF chống ẩm phủ melamine dày 17mm, có cánh kính</w:t>
            </w:r>
            <w:r>
              <w:br w:type="textWrapping"/>
            </w:r>
            <w:r>
              <w:t>- Kích thước tổng thể: cao, rộng, sâu (2100 x 1700 x 400) mm ±5%.</w:t>
            </w:r>
            <w:r>
              <w:br w:type="textWrapping"/>
            </w:r>
            <w:r>
              <w:t>- Kết cấu:</w:t>
            </w:r>
            <w:r>
              <w:br w:type="textWrapping"/>
            </w:r>
            <w:r>
              <w:t>+ Tủ chia làm hai khoang, có khóa riêng từng khoang:</w:t>
            </w:r>
            <w:r>
              <w:br w:type="textWrapping"/>
            </w:r>
            <w:r>
              <w:t>+ Khoang trên gồm 5 tầng, mỗi tầng cao 300mm, có cánh kính</w:t>
            </w:r>
            <w:r>
              <w:br w:type="textWrapping"/>
            </w:r>
            <w:r>
              <w:t>+ Khoang dưới cao 600mm có cánh cửa bằng gỗ.</w:t>
            </w:r>
            <w:r>
              <w:br w:type="textWrapping"/>
            </w:r>
            <w:r>
              <w:t>+ Kính trắng dày ≥ 5 mm.</w:t>
            </w:r>
          </w:p>
        </w:tc>
        <w:tc>
          <w:tcPr>
            <w:tcW w:w="929" w:type="dxa"/>
            <w:shd w:val="clear" w:color="auto" w:fill="auto"/>
            <w:vAlign w:val="center"/>
          </w:tcPr>
          <w:p w14:paraId="5F5420C0">
            <w:pPr>
              <w:spacing w:after="120"/>
              <w:jc w:val="center"/>
              <w:rPr>
                <w:iCs/>
              </w:rPr>
            </w:pPr>
            <w:r>
              <w:rPr>
                <w:iCs/>
              </w:rPr>
              <w:t>Cái</w:t>
            </w:r>
          </w:p>
        </w:tc>
        <w:tc>
          <w:tcPr>
            <w:tcW w:w="913" w:type="dxa"/>
            <w:shd w:val="clear" w:color="auto" w:fill="auto"/>
            <w:vAlign w:val="center"/>
          </w:tcPr>
          <w:p w14:paraId="397950C0">
            <w:pPr>
              <w:spacing w:after="120"/>
              <w:jc w:val="center"/>
              <w:rPr>
                <w:iCs/>
              </w:rPr>
            </w:pPr>
            <w:r>
              <w:rPr>
                <w:iCs/>
              </w:rPr>
              <w:t xml:space="preserve">100   </w:t>
            </w:r>
          </w:p>
        </w:tc>
      </w:tr>
      <w:tr w14:paraId="28495B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46" w:type="dxa"/>
            <w:shd w:val="clear" w:color="auto" w:fill="auto"/>
            <w:vAlign w:val="center"/>
          </w:tcPr>
          <w:p w14:paraId="039FAE66">
            <w:pPr>
              <w:spacing w:after="120"/>
              <w:jc w:val="center"/>
              <w:rPr>
                <w:iCs/>
              </w:rPr>
            </w:pPr>
            <w:r>
              <w:rPr>
                <w:iCs/>
              </w:rPr>
              <w:t>21</w:t>
            </w:r>
          </w:p>
        </w:tc>
        <w:tc>
          <w:tcPr>
            <w:tcW w:w="1539" w:type="dxa"/>
            <w:shd w:val="clear" w:color="auto" w:fill="auto"/>
            <w:vAlign w:val="center"/>
          </w:tcPr>
          <w:p w14:paraId="1FF23023">
            <w:pPr>
              <w:spacing w:after="120"/>
              <w:rPr>
                <w:iCs/>
              </w:rPr>
            </w:pPr>
            <w:r>
              <w:t>Tủ bảo quản vị thuốc cổ truyền 12 ngăn</w:t>
            </w:r>
          </w:p>
        </w:tc>
        <w:tc>
          <w:tcPr>
            <w:tcW w:w="5479" w:type="dxa"/>
            <w:shd w:val="clear" w:color="auto" w:fill="auto"/>
            <w:vAlign w:val="center"/>
          </w:tcPr>
          <w:p w14:paraId="3A7D5BF2">
            <w:r>
              <w:t>Tủ được làm bằng thép sơn tĩnh điện màu ghi, tôn dày 0,6mm</w:t>
            </w:r>
          </w:p>
          <w:p w14:paraId="763D24E2">
            <w:r>
              <w:t>Dạng tủ thấp gồm 3 khoang, mỗi khoang có 4 ngăn kéo, dùng chung 1 thanh khóa dàn.</w:t>
            </w:r>
          </w:p>
          <w:p w14:paraId="292D6138">
            <w:pPr>
              <w:spacing w:after="120"/>
              <w:rPr>
                <w:iCs/>
              </w:rPr>
            </w:pPr>
            <w:r>
              <w:t>Kích thước (mm): R1180 x S450 x C915</w:t>
            </w:r>
          </w:p>
        </w:tc>
        <w:tc>
          <w:tcPr>
            <w:tcW w:w="929" w:type="dxa"/>
            <w:shd w:val="clear" w:color="auto" w:fill="auto"/>
            <w:vAlign w:val="center"/>
          </w:tcPr>
          <w:p w14:paraId="4CF76527">
            <w:pPr>
              <w:spacing w:after="120"/>
              <w:jc w:val="center"/>
              <w:rPr>
                <w:iCs/>
              </w:rPr>
            </w:pPr>
            <w:r>
              <w:rPr>
                <w:iCs/>
              </w:rPr>
              <w:t>Kg</w:t>
            </w:r>
          </w:p>
        </w:tc>
        <w:tc>
          <w:tcPr>
            <w:tcW w:w="913" w:type="dxa"/>
            <w:shd w:val="clear" w:color="auto" w:fill="auto"/>
            <w:vAlign w:val="center"/>
          </w:tcPr>
          <w:p w14:paraId="49F071C5">
            <w:pPr>
              <w:spacing w:after="120"/>
              <w:jc w:val="center"/>
              <w:rPr>
                <w:iCs/>
              </w:rPr>
            </w:pPr>
            <w:r>
              <w:rPr>
                <w:iCs/>
              </w:rPr>
              <w:t xml:space="preserve">10   </w:t>
            </w:r>
          </w:p>
        </w:tc>
      </w:tr>
      <w:tr w14:paraId="2F45F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746" w:type="dxa"/>
            <w:shd w:val="clear" w:color="auto" w:fill="auto"/>
            <w:vAlign w:val="center"/>
          </w:tcPr>
          <w:p w14:paraId="21583FE8">
            <w:pPr>
              <w:spacing w:after="120"/>
              <w:jc w:val="center"/>
              <w:rPr>
                <w:iCs/>
              </w:rPr>
            </w:pPr>
            <w:r>
              <w:rPr>
                <w:iCs/>
              </w:rPr>
              <w:t>22</w:t>
            </w:r>
          </w:p>
        </w:tc>
        <w:tc>
          <w:tcPr>
            <w:tcW w:w="1539" w:type="dxa"/>
            <w:shd w:val="clear" w:color="auto" w:fill="auto"/>
            <w:vAlign w:val="center"/>
          </w:tcPr>
          <w:p w14:paraId="51987295">
            <w:pPr>
              <w:spacing w:after="120"/>
              <w:rPr>
                <w:iCs/>
              </w:rPr>
            </w:pPr>
            <w:r>
              <w:t>Xe chở hàng inox</w:t>
            </w:r>
          </w:p>
        </w:tc>
        <w:tc>
          <w:tcPr>
            <w:tcW w:w="5479" w:type="dxa"/>
            <w:shd w:val="clear" w:color="auto" w:fill="auto"/>
            <w:vAlign w:val="center"/>
          </w:tcPr>
          <w:p w14:paraId="051EDDF4">
            <w:r>
              <w:t>Chất liệu: 100% inox SUS304 (trừ bánh xe).</w:t>
            </w:r>
          </w:p>
          <w:p w14:paraId="0C35936A">
            <w:r>
              <w:t>- Kích thước tổng thể : dài, rộng, cao (910 x 610 x 915)mm ± 5%</w:t>
            </w:r>
          </w:p>
          <w:p w14:paraId="7E64FEB4">
            <w:r>
              <w:t>- Cấu hình:</w:t>
            </w:r>
          </w:p>
          <w:p w14:paraId="038C3E40">
            <w:r>
              <w:t>+Sàn dày ≥ 1,2mm</w:t>
            </w:r>
          </w:p>
          <w:p w14:paraId="363CBE4B">
            <w:r>
              <w:t>+Khung sàn hình hộp ≥ 20x40mm, dày ≥ 0,6 mm</w:t>
            </w:r>
          </w:p>
          <w:p w14:paraId="535D210E">
            <w:r>
              <w:t>+Tay đẩy uốn cong hình chữ U có tấm chắn hàng gắn liền, đường kính khung ≥ Փ32mm, dày ≥ 1mm;</w:t>
            </w:r>
          </w:p>
          <w:p w14:paraId="36C9FFD0">
            <w:r>
              <w:t>+4 bánh xe bằng cao su đường kính ≥ 120 mm.</w:t>
            </w:r>
          </w:p>
          <w:p w14:paraId="6070AD05">
            <w:pPr>
              <w:spacing w:after="120"/>
              <w:rPr>
                <w:iCs/>
              </w:rPr>
            </w:pPr>
            <w:r>
              <w:t>+ Tải trọng : ≥ 500kg.</w:t>
            </w:r>
          </w:p>
        </w:tc>
        <w:tc>
          <w:tcPr>
            <w:tcW w:w="929" w:type="dxa"/>
            <w:shd w:val="clear" w:color="auto" w:fill="auto"/>
            <w:vAlign w:val="center"/>
          </w:tcPr>
          <w:p w14:paraId="5DAA926C">
            <w:pPr>
              <w:spacing w:after="120"/>
              <w:jc w:val="center"/>
              <w:rPr>
                <w:iCs/>
              </w:rPr>
            </w:pPr>
            <w:r>
              <w:rPr>
                <w:iCs/>
              </w:rPr>
              <w:t>Kg</w:t>
            </w:r>
          </w:p>
        </w:tc>
        <w:tc>
          <w:tcPr>
            <w:tcW w:w="913" w:type="dxa"/>
            <w:shd w:val="clear" w:color="auto" w:fill="auto"/>
            <w:vAlign w:val="center"/>
          </w:tcPr>
          <w:p w14:paraId="73C031DE">
            <w:pPr>
              <w:spacing w:after="120"/>
              <w:jc w:val="center"/>
              <w:rPr>
                <w:iCs/>
              </w:rPr>
            </w:pPr>
            <w:r>
              <w:rPr>
                <w:iCs/>
              </w:rPr>
              <w:t xml:space="preserve">50  </w:t>
            </w:r>
          </w:p>
        </w:tc>
      </w:tr>
    </w:tbl>
    <w:p w14:paraId="38189D27">
      <w:pPr>
        <w:spacing w:after="0" w:line="240" w:lineRule="auto"/>
        <w:rPr>
          <w:rFonts w:cs="Times New Roman"/>
          <w:i/>
          <w:szCs w:val="28"/>
          <w:lang w:val="en-US"/>
        </w:rPr>
      </w:pPr>
    </w:p>
    <w:p w14:paraId="2D648A62">
      <w:pPr>
        <w:spacing w:after="0" w:line="240" w:lineRule="auto"/>
        <w:rPr>
          <w:rFonts w:cs="Times New Roman"/>
          <w:i/>
          <w:szCs w:val="28"/>
          <w:lang w:val="en-US"/>
        </w:rPr>
        <w:sectPr>
          <w:pgSz w:w="11906" w:h="16838"/>
          <w:pgMar w:top="1276" w:right="1134" w:bottom="1418" w:left="1701" w:header="709" w:footer="709" w:gutter="0"/>
          <w:cols w:space="708" w:num="1"/>
          <w:docGrid w:linePitch="360" w:charSpace="0"/>
        </w:sectPr>
      </w:pPr>
    </w:p>
    <w:p w14:paraId="54B25E18">
      <w:pPr>
        <w:widowControl w:val="0"/>
        <w:spacing w:after="0" w:line="240" w:lineRule="auto"/>
        <w:jc w:val="center"/>
        <w:rPr>
          <w:rFonts w:cs="Times New Roman"/>
          <w:b/>
          <w:bCs/>
          <w:szCs w:val="28"/>
          <w:shd w:val="clear" w:color="auto" w:fill="FFFFFF"/>
          <w:lang w:eastAsia="vi-VN"/>
        </w:rPr>
      </w:pPr>
      <w:bookmarkStart w:id="0" w:name="_Hlk180570931"/>
      <w:bookmarkStart w:id="1" w:name="_Hlk180570894"/>
      <w:r>
        <w:rPr>
          <w:rFonts w:cs="Times New Roman"/>
          <w:b/>
          <w:bCs/>
          <w:szCs w:val="28"/>
          <w:shd w:val="clear" w:color="auto" w:fill="FFFFFF"/>
          <w:lang w:eastAsia="vi-VN"/>
        </w:rPr>
        <w:t>Mẫu báo giá</w:t>
      </w:r>
    </w:p>
    <w:p w14:paraId="34C99CFB">
      <w:pPr>
        <w:spacing w:before="120" w:after="120" w:line="240" w:lineRule="exact"/>
        <w:jc w:val="center"/>
        <w:rPr>
          <w:rFonts w:cs="Times New Roman"/>
          <w:b/>
          <w:bCs/>
          <w:lang w:val="en-US"/>
        </w:rPr>
      </w:pPr>
      <w:r>
        <w:rPr>
          <w:rFonts w:cs="Times New Roman"/>
          <w:b/>
          <w:spacing w:val="-6"/>
          <w:szCs w:val="28"/>
          <w:shd w:val="clear" w:color="auto" w:fill="FFFFFF"/>
        </w:rPr>
        <w:t>Gói thầu</w:t>
      </w:r>
      <w:r>
        <w:rPr>
          <w:rFonts w:cs="Times New Roman"/>
          <w:b/>
          <w:spacing w:val="-6"/>
          <w:szCs w:val="28"/>
          <w:shd w:val="clear" w:color="auto" w:fill="FFFFFF"/>
          <w:lang w:val="en-US"/>
        </w:rPr>
        <w:t>:</w:t>
      </w:r>
      <w:r>
        <w:rPr>
          <w:rFonts w:cs="Times New Roman"/>
          <w:b/>
          <w:spacing w:val="-6"/>
          <w:szCs w:val="28"/>
          <w:shd w:val="clear" w:color="auto" w:fill="FFFFFF"/>
        </w:rPr>
        <w:t xml:space="preserve"> </w:t>
      </w:r>
      <w:r>
        <w:rPr>
          <w:b/>
        </w:rPr>
        <w:t>Mua sắm tài sản, công cụ dụng cụ phục vụ người bệnh năm 2026</w:t>
      </w:r>
    </w:p>
    <w:p w14:paraId="35981DA1">
      <w:pPr>
        <w:spacing w:after="60" w:line="240" w:lineRule="auto"/>
        <w:jc w:val="center"/>
        <w:rPr>
          <w:rFonts w:cs="Times New Roman"/>
          <w:b/>
          <w:bCs/>
          <w:szCs w:val="28"/>
          <w:shd w:val="clear" w:color="auto" w:fill="FFFFFF"/>
          <w:lang w:eastAsia="vi-VN"/>
        </w:rPr>
      </w:pPr>
      <w:r>
        <w:rPr>
          <w:rFonts w:cs="Times New Roman"/>
          <w:b/>
          <w:bCs/>
          <w:szCs w:val="28"/>
          <w:shd w:val="clear" w:color="auto" w:fill="FFFFFF"/>
          <w:lang w:eastAsia="vi-VN"/>
        </w:rPr>
        <w:t>BÁO GIÁ</w:t>
      </w:r>
    </w:p>
    <w:p w14:paraId="27B5782A">
      <w:pPr>
        <w:widowControl w:val="0"/>
        <w:spacing w:after="120" w:line="240" w:lineRule="auto"/>
        <w:jc w:val="center"/>
        <w:rPr>
          <w:rFonts w:cs="Times New Roman"/>
          <w:bCs/>
          <w:szCs w:val="28"/>
          <w:shd w:val="clear" w:color="auto" w:fill="FFFFFF"/>
          <w:lang w:eastAsia="vi-VN"/>
        </w:rPr>
      </w:pPr>
      <w:bookmarkStart w:id="2" w:name="bookmark8"/>
      <w:bookmarkStart w:id="3" w:name="bookmark9"/>
      <w:r>
        <w:rPr>
          <w:rFonts w:cs="Times New Roman"/>
          <w:bCs/>
          <w:szCs w:val="28"/>
          <w:shd w:val="clear" w:color="auto" w:fill="FFFFFF"/>
          <w:lang w:eastAsia="vi-VN"/>
        </w:rPr>
        <w:t>Kính gửi: ... [ghi rõ tên của Chủ đầu tư yêu cầu báo giá</w:t>
      </w:r>
      <w:bookmarkEnd w:id="2"/>
      <w:bookmarkEnd w:id="3"/>
      <w:r>
        <w:rPr>
          <w:rFonts w:cs="Times New Roman"/>
          <w:bCs/>
          <w:szCs w:val="28"/>
          <w:shd w:val="clear" w:color="auto" w:fill="FFFFFF"/>
          <w:lang w:eastAsia="vi-VN"/>
        </w:rPr>
        <w:t>]</w:t>
      </w:r>
    </w:p>
    <w:p w14:paraId="77CFB274">
      <w:pPr>
        <w:spacing w:after="60" w:line="240" w:lineRule="auto"/>
        <w:ind w:firstLine="567"/>
        <w:jc w:val="both"/>
        <w:rPr>
          <w:rFonts w:cs="Times New Roman"/>
          <w:bCs/>
          <w:szCs w:val="28"/>
          <w:shd w:val="clear" w:color="auto" w:fill="FFFFFF"/>
          <w:lang w:val="en-US" w:eastAsia="vi-VN"/>
        </w:rPr>
      </w:pPr>
    </w:p>
    <w:p w14:paraId="75FE0C1D">
      <w:pPr>
        <w:spacing w:after="120" w:line="320" w:lineRule="exact"/>
        <w:ind w:firstLine="567"/>
        <w:jc w:val="both"/>
        <w:rPr>
          <w:rFonts w:cs="Times New Roman"/>
          <w:b/>
          <w:color w:val="000000"/>
          <w:spacing w:val="-8"/>
        </w:rPr>
      </w:pPr>
      <w:r>
        <w:rPr>
          <w:rFonts w:cs="Times New Roman"/>
          <w:bCs/>
          <w:szCs w:val="28"/>
          <w:shd w:val="clear" w:color="auto" w:fill="FFFFFF"/>
          <w:lang w:eastAsia="vi-VN"/>
        </w:rPr>
        <w:t xml:space="preserve">Trên cơ sở yêu cầu báo giá của.... </w:t>
      </w:r>
      <w:r>
        <w:rPr>
          <w:rFonts w:cs="Times New Roman"/>
          <w:bCs/>
          <w:i/>
          <w:iCs/>
          <w:szCs w:val="28"/>
          <w:shd w:val="clear" w:color="auto" w:fill="FFFFFF"/>
          <w:lang w:eastAsia="vi-VN"/>
        </w:rPr>
        <w:t>[ghi rõ tên của Chủ đầu tư yêu cầu báo giá],</w:t>
      </w:r>
      <w:r>
        <w:rPr>
          <w:rFonts w:cs="Times New Roman"/>
          <w:bCs/>
          <w:szCs w:val="28"/>
          <w:shd w:val="clear" w:color="auto" w:fill="FFFFFF"/>
          <w:lang w:eastAsia="vi-VN"/>
        </w:rPr>
        <w:t xml:space="preserve"> chúng </w:t>
      </w:r>
      <w:r>
        <w:rPr>
          <w:rFonts w:cs="Times New Roman"/>
          <w:bCs/>
          <w:i/>
          <w:iCs/>
          <w:szCs w:val="28"/>
          <w:shd w:val="clear" w:color="auto" w:fill="FFFFFF"/>
          <w:lang w:eastAsia="vi-VN"/>
        </w:rPr>
        <w:t xml:space="preserve">tôi....[ghi tên, địa chỉ của hãng sản xuất, nhà cung cấp; trường hợp nhiều hãng sản xuất, nhà cung cấp cùng tham gia trong một báo giá (gọi chung là liên </w:t>
      </w:r>
      <w:r>
        <w:rPr>
          <w:rFonts w:cs="Times New Roman"/>
          <w:bCs/>
          <w:i/>
          <w:iCs/>
          <w:spacing w:val="-8"/>
          <w:szCs w:val="28"/>
          <w:shd w:val="clear" w:color="auto" w:fill="FFFFFF"/>
          <w:lang w:eastAsia="vi-VN"/>
        </w:rPr>
        <w:t>danh) thì ghi rõ tên, địa chỉ của các thành viên liên danh]</w:t>
      </w:r>
      <w:r>
        <w:rPr>
          <w:rFonts w:cs="Times New Roman"/>
          <w:bCs/>
          <w:spacing w:val="-8"/>
          <w:szCs w:val="28"/>
          <w:shd w:val="clear" w:color="auto" w:fill="FFFFFF"/>
          <w:lang w:eastAsia="vi-VN"/>
        </w:rPr>
        <w:t xml:space="preserve"> báo giá</w:t>
      </w:r>
      <w:r>
        <w:rPr>
          <w:rFonts w:cs="Times New Roman"/>
          <w:bCs/>
          <w:spacing w:val="-8"/>
          <w:szCs w:val="28"/>
          <w:shd w:val="clear" w:color="auto" w:fill="FFFFFF"/>
          <w:lang w:val="en-US" w:eastAsia="vi-VN"/>
        </w:rPr>
        <w:t xml:space="preserve"> Gói thầu:</w:t>
      </w:r>
      <w:r>
        <w:rPr>
          <w:rFonts w:cs="Times New Roman"/>
          <w:bCs/>
          <w:spacing w:val="-8"/>
          <w:szCs w:val="28"/>
          <w:shd w:val="clear" w:color="auto" w:fill="FFFFFF"/>
          <w:lang w:eastAsia="vi-VN"/>
        </w:rPr>
        <w:t xml:space="preserve"> </w:t>
      </w:r>
      <w:r>
        <w:t>Mua sắm tài sản, công cụ dụng cụ phục vụ người bệnh năm 2026</w:t>
      </w:r>
      <w:r>
        <w:rPr>
          <w:rFonts w:cs="Times New Roman"/>
          <w:b/>
          <w:color w:val="000000"/>
          <w:spacing w:val="-8"/>
          <w:szCs w:val="28"/>
          <w:lang w:val="en-US"/>
        </w:rPr>
        <w:t xml:space="preserve"> </w:t>
      </w:r>
      <w:r>
        <w:rPr>
          <w:rFonts w:cs="Times New Roman"/>
          <w:bCs/>
          <w:spacing w:val="-8"/>
          <w:szCs w:val="28"/>
          <w:shd w:val="clear" w:color="auto" w:fill="FFFFFF"/>
          <w:lang w:eastAsia="vi-VN"/>
        </w:rPr>
        <w:t>như sau:</w:t>
      </w:r>
    </w:p>
    <w:p w14:paraId="2E23BE08">
      <w:pPr>
        <w:widowControl w:val="0"/>
        <w:spacing w:after="120" w:line="320" w:lineRule="exact"/>
        <w:ind w:firstLine="567"/>
        <w:jc w:val="both"/>
        <w:rPr>
          <w:rFonts w:cs="Times New Roman"/>
          <w:bCs/>
          <w:szCs w:val="28"/>
          <w:shd w:val="clear" w:color="auto" w:fill="FFFFFF"/>
          <w:lang w:eastAsia="vi-VN"/>
        </w:rPr>
      </w:pPr>
      <w:r>
        <w:rPr>
          <w:rFonts w:cs="Times New Roman"/>
          <w:bCs/>
          <w:szCs w:val="28"/>
          <w:shd w:val="clear" w:color="auto" w:fill="FFFFFF"/>
          <w:lang w:val="en-US" w:eastAsia="vi-VN"/>
        </w:rPr>
        <w:t xml:space="preserve">1. </w:t>
      </w:r>
      <w:r>
        <w:rPr>
          <w:rFonts w:cs="Times New Roman"/>
          <w:bCs/>
          <w:szCs w:val="28"/>
          <w:shd w:val="clear" w:color="auto" w:fill="FFFFFF"/>
          <w:lang w:eastAsia="vi-VN"/>
        </w:rPr>
        <w:t xml:space="preserve">Báo giá </w:t>
      </w:r>
      <w:r>
        <w:rPr>
          <w:rFonts w:cs="Times New Roman"/>
          <w:bCs/>
          <w:spacing w:val="-8"/>
          <w:szCs w:val="28"/>
          <w:shd w:val="clear" w:color="auto" w:fill="FFFFFF"/>
          <w:lang w:val="en-US" w:eastAsia="vi-VN"/>
        </w:rPr>
        <w:t>Gói thầu:</w:t>
      </w:r>
      <w:r>
        <w:rPr>
          <w:rFonts w:cs="Times New Roman"/>
          <w:bCs/>
          <w:spacing w:val="-8"/>
          <w:szCs w:val="28"/>
          <w:shd w:val="clear" w:color="auto" w:fill="FFFFFF"/>
          <w:lang w:eastAsia="vi-VN"/>
        </w:rPr>
        <w:t xml:space="preserve"> </w:t>
      </w:r>
      <w:r>
        <w:t>Mua sắm tài sản, công cụ dụng cụ phục vụ người bệnh năm 2026</w:t>
      </w:r>
      <w:r>
        <w:rPr>
          <w:rFonts w:cs="Times New Roman"/>
          <w:b/>
          <w:color w:val="000000"/>
          <w:szCs w:val="28"/>
        </w:rPr>
        <w:t>:</w:t>
      </w:r>
    </w:p>
    <w:tbl>
      <w:tblPr>
        <w:tblStyle w:val="4"/>
        <w:tblW w:w="5000" w:type="pct"/>
        <w:jc w:val="center"/>
        <w:tblLayout w:type="autofit"/>
        <w:tblCellMar>
          <w:top w:w="0" w:type="dxa"/>
          <w:left w:w="0" w:type="dxa"/>
          <w:bottom w:w="0" w:type="dxa"/>
          <w:right w:w="0" w:type="dxa"/>
        </w:tblCellMar>
      </w:tblPr>
      <w:tblGrid>
        <w:gridCol w:w="706"/>
        <w:gridCol w:w="1763"/>
        <w:gridCol w:w="1940"/>
        <w:gridCol w:w="1236"/>
        <w:gridCol w:w="1873"/>
        <w:gridCol w:w="1421"/>
        <w:gridCol w:w="849"/>
        <w:gridCol w:w="1561"/>
        <w:gridCol w:w="1564"/>
        <w:gridCol w:w="1100"/>
      </w:tblGrid>
      <w:tr w14:paraId="61E1DEED">
        <w:tblPrEx>
          <w:tblCellMar>
            <w:top w:w="0" w:type="dxa"/>
            <w:left w:w="0" w:type="dxa"/>
            <w:bottom w:w="0" w:type="dxa"/>
            <w:right w:w="0" w:type="dxa"/>
          </w:tblCellMar>
        </w:tblPrEx>
        <w:trPr>
          <w:trHeight w:val="18" w:hRule="atLeast"/>
          <w:jc w:val="center"/>
        </w:trPr>
        <w:tc>
          <w:tcPr>
            <w:tcW w:w="252" w:type="pct"/>
            <w:tcBorders>
              <w:top w:val="single" w:color="auto" w:sz="4" w:space="0"/>
              <w:left w:val="single" w:color="auto" w:sz="4" w:space="0"/>
              <w:bottom w:val="nil"/>
              <w:right w:val="nil"/>
            </w:tcBorders>
            <w:shd w:val="clear" w:color="auto" w:fill="FFFFFF"/>
            <w:vAlign w:val="center"/>
          </w:tcPr>
          <w:p w14:paraId="2C3DF85F">
            <w:pPr>
              <w:widowControl w:val="0"/>
              <w:spacing w:after="120" w:line="320" w:lineRule="exact"/>
              <w:jc w:val="center"/>
              <w:rPr>
                <w:rFonts w:cs="Times New Roman"/>
                <w:b/>
                <w:bCs/>
                <w:sz w:val="26"/>
                <w:szCs w:val="26"/>
                <w:shd w:val="clear" w:color="auto" w:fill="FFFFFF"/>
                <w:lang w:eastAsia="vi-VN"/>
              </w:rPr>
            </w:pPr>
            <w:r>
              <w:rPr>
                <w:rFonts w:cs="Times New Roman"/>
                <w:b/>
                <w:bCs/>
                <w:sz w:val="26"/>
                <w:szCs w:val="26"/>
                <w:shd w:val="clear" w:color="auto" w:fill="FFFFFF"/>
                <w:lang w:eastAsia="vi-VN"/>
              </w:rPr>
              <w:t>STT</w:t>
            </w:r>
          </w:p>
        </w:tc>
        <w:tc>
          <w:tcPr>
            <w:tcW w:w="629" w:type="pct"/>
            <w:tcBorders>
              <w:top w:val="single" w:color="auto" w:sz="4" w:space="0"/>
              <w:left w:val="single" w:color="auto" w:sz="4" w:space="0"/>
              <w:bottom w:val="nil"/>
              <w:right w:val="nil"/>
            </w:tcBorders>
            <w:shd w:val="clear" w:color="auto" w:fill="FFFFFF"/>
            <w:vAlign w:val="center"/>
          </w:tcPr>
          <w:p w14:paraId="606E2894">
            <w:pPr>
              <w:widowControl w:val="0"/>
              <w:spacing w:after="120" w:line="320" w:lineRule="exact"/>
              <w:jc w:val="center"/>
              <w:rPr>
                <w:rFonts w:cs="Times New Roman"/>
                <w:b/>
                <w:bCs/>
                <w:sz w:val="26"/>
                <w:szCs w:val="26"/>
                <w:shd w:val="clear" w:color="auto" w:fill="FFFFFF"/>
                <w:lang w:eastAsia="vi-VN"/>
              </w:rPr>
            </w:pPr>
            <w:r>
              <w:rPr>
                <w:rFonts w:cs="Times New Roman"/>
                <w:b/>
                <w:sz w:val="26"/>
                <w:szCs w:val="26"/>
              </w:rPr>
              <w:t>Danh mục hàng hóa/ Dịch vụ</w:t>
            </w:r>
          </w:p>
        </w:tc>
        <w:tc>
          <w:tcPr>
            <w:tcW w:w="692" w:type="pct"/>
            <w:tcBorders>
              <w:top w:val="single" w:color="auto" w:sz="4" w:space="0"/>
              <w:left w:val="single" w:color="auto" w:sz="4" w:space="0"/>
              <w:bottom w:val="nil"/>
              <w:right w:val="single" w:color="auto" w:sz="4" w:space="0"/>
            </w:tcBorders>
            <w:shd w:val="clear" w:color="auto" w:fill="FFFFFF"/>
            <w:vAlign w:val="center"/>
          </w:tcPr>
          <w:p w14:paraId="7D17AE52">
            <w:pPr>
              <w:widowControl w:val="0"/>
              <w:spacing w:after="120" w:line="320" w:lineRule="exact"/>
              <w:jc w:val="center"/>
              <w:rPr>
                <w:rFonts w:cs="Times New Roman"/>
                <w:b/>
                <w:bCs/>
                <w:sz w:val="26"/>
                <w:szCs w:val="26"/>
                <w:shd w:val="clear" w:color="auto" w:fill="FFFFFF"/>
                <w:lang w:eastAsia="vi-VN"/>
              </w:rPr>
            </w:pPr>
            <w:r>
              <w:rPr>
                <w:rFonts w:cs="Times New Roman"/>
                <w:b/>
                <w:bCs/>
                <w:sz w:val="26"/>
                <w:szCs w:val="26"/>
                <w:shd w:val="clear" w:color="auto" w:fill="FFFFFF"/>
                <w:lang w:eastAsia="vi-VN"/>
              </w:rPr>
              <w:t>Đặc tính kỹ thuật, thông số kỹ thuật</w:t>
            </w:r>
            <w:r>
              <w:rPr>
                <w:rFonts w:cs="Times New Roman"/>
                <w:b/>
                <w:bCs/>
                <w:sz w:val="26"/>
                <w:szCs w:val="26"/>
                <w:shd w:val="clear" w:color="auto" w:fill="FFFFFF"/>
                <w:lang w:eastAsia="vi-VN"/>
              </w:rPr>
              <w:br w:type="textWrapping"/>
            </w:r>
            <w:r>
              <w:rPr>
                <w:rFonts w:cs="Times New Roman"/>
                <w:b/>
                <w:bCs/>
                <w:sz w:val="26"/>
                <w:szCs w:val="26"/>
                <w:shd w:val="clear" w:color="auto" w:fill="FFFFFF"/>
                <w:lang w:eastAsia="vi-VN"/>
              </w:rPr>
              <w:t>(nếu có)</w:t>
            </w:r>
          </w:p>
        </w:tc>
        <w:tc>
          <w:tcPr>
            <w:tcW w:w="441" w:type="pct"/>
            <w:tcBorders>
              <w:top w:val="single" w:color="auto" w:sz="4" w:space="0"/>
              <w:left w:val="single" w:color="auto" w:sz="4" w:space="0"/>
              <w:bottom w:val="nil"/>
              <w:right w:val="single" w:color="auto" w:sz="4" w:space="0"/>
            </w:tcBorders>
            <w:shd w:val="clear" w:color="auto" w:fill="FFFFFF"/>
            <w:vAlign w:val="center"/>
          </w:tcPr>
          <w:p w14:paraId="108789F6">
            <w:pPr>
              <w:widowControl w:val="0"/>
              <w:spacing w:after="120" w:line="320" w:lineRule="exact"/>
              <w:jc w:val="center"/>
              <w:rPr>
                <w:rFonts w:cs="Times New Roman"/>
                <w:b/>
                <w:bCs/>
                <w:sz w:val="26"/>
                <w:szCs w:val="26"/>
                <w:shd w:val="clear" w:color="auto" w:fill="FFFFFF"/>
                <w:lang w:val="en-US" w:eastAsia="vi-VN"/>
              </w:rPr>
            </w:pPr>
            <w:r>
              <w:rPr>
                <w:rFonts w:cs="Times New Roman"/>
                <w:b/>
                <w:bCs/>
                <w:sz w:val="26"/>
                <w:szCs w:val="26"/>
                <w:shd w:val="clear" w:color="auto" w:fill="FFFFFF"/>
                <w:lang w:val="en-US" w:eastAsia="vi-VN"/>
              </w:rPr>
              <w:t>Ký mã hiệu</w:t>
            </w:r>
          </w:p>
        </w:tc>
        <w:tc>
          <w:tcPr>
            <w:tcW w:w="668" w:type="pct"/>
            <w:tcBorders>
              <w:top w:val="single" w:color="auto" w:sz="4" w:space="0"/>
              <w:left w:val="single" w:color="auto" w:sz="4" w:space="0"/>
              <w:bottom w:val="nil"/>
              <w:right w:val="nil"/>
            </w:tcBorders>
            <w:shd w:val="clear" w:color="auto" w:fill="FFFFFF"/>
            <w:vAlign w:val="center"/>
          </w:tcPr>
          <w:p w14:paraId="3AC453BF">
            <w:pPr>
              <w:widowControl w:val="0"/>
              <w:spacing w:after="120" w:line="320" w:lineRule="exact"/>
              <w:jc w:val="center"/>
              <w:rPr>
                <w:rFonts w:cs="Times New Roman"/>
                <w:b/>
                <w:bCs/>
                <w:sz w:val="26"/>
                <w:szCs w:val="26"/>
                <w:shd w:val="clear" w:color="auto" w:fill="FFFFFF"/>
                <w:lang w:eastAsia="vi-VN"/>
              </w:rPr>
            </w:pPr>
          </w:p>
          <w:p w14:paraId="18CD94C4">
            <w:pPr>
              <w:widowControl w:val="0"/>
              <w:spacing w:after="120" w:line="320" w:lineRule="exact"/>
              <w:jc w:val="center"/>
              <w:rPr>
                <w:rFonts w:cs="Times New Roman"/>
                <w:b/>
                <w:bCs/>
                <w:sz w:val="26"/>
                <w:szCs w:val="26"/>
                <w:shd w:val="clear" w:color="auto" w:fill="FFFFFF"/>
                <w:lang w:eastAsia="vi-VN"/>
              </w:rPr>
            </w:pPr>
            <w:r>
              <w:rPr>
                <w:rFonts w:cs="Times New Roman"/>
                <w:b/>
                <w:bCs/>
                <w:sz w:val="26"/>
                <w:szCs w:val="26"/>
                <w:shd w:val="clear" w:color="auto" w:fill="FFFFFF"/>
                <w:lang w:eastAsia="vi-VN"/>
              </w:rPr>
              <w:t>Hãng/</w:t>
            </w:r>
            <w:r>
              <w:rPr>
                <w:rFonts w:cs="Times New Roman"/>
                <w:b/>
                <w:bCs/>
                <w:sz w:val="26"/>
                <w:szCs w:val="26"/>
                <w:shd w:val="clear" w:color="auto" w:fill="FFFFFF"/>
                <w:lang w:val="en-US" w:eastAsia="vi-VN"/>
              </w:rPr>
              <w:t xml:space="preserve"> </w:t>
            </w:r>
            <w:r>
              <w:rPr>
                <w:rFonts w:cs="Times New Roman"/>
                <w:b/>
                <w:bCs/>
                <w:sz w:val="26"/>
                <w:szCs w:val="26"/>
                <w:shd w:val="clear" w:color="auto" w:fill="FFFFFF"/>
                <w:lang w:eastAsia="vi-VN"/>
              </w:rPr>
              <w:t>Nước sản xuất</w:t>
            </w:r>
          </w:p>
          <w:p w14:paraId="21D0D688">
            <w:pPr>
              <w:widowControl w:val="0"/>
              <w:spacing w:after="120" w:line="320" w:lineRule="exact"/>
              <w:jc w:val="center"/>
              <w:rPr>
                <w:rFonts w:cs="Times New Roman"/>
                <w:b/>
                <w:bCs/>
                <w:sz w:val="26"/>
                <w:szCs w:val="26"/>
                <w:shd w:val="clear" w:color="auto" w:fill="FFFFFF"/>
                <w:vertAlign w:val="superscript"/>
                <w:lang w:eastAsia="vi-VN"/>
              </w:rPr>
            </w:pPr>
          </w:p>
        </w:tc>
        <w:tc>
          <w:tcPr>
            <w:tcW w:w="507" w:type="pct"/>
            <w:tcBorders>
              <w:top w:val="single" w:color="auto" w:sz="4" w:space="0"/>
              <w:left w:val="single" w:color="auto" w:sz="4" w:space="0"/>
              <w:bottom w:val="nil"/>
              <w:right w:val="single" w:color="auto" w:sz="4" w:space="0"/>
            </w:tcBorders>
            <w:shd w:val="clear" w:color="auto" w:fill="FFFFFF"/>
            <w:vAlign w:val="center"/>
          </w:tcPr>
          <w:p w14:paraId="63C2E324">
            <w:pPr>
              <w:widowControl w:val="0"/>
              <w:spacing w:after="120" w:line="320" w:lineRule="exact"/>
              <w:jc w:val="center"/>
              <w:rPr>
                <w:rFonts w:cs="Times New Roman"/>
                <w:b/>
                <w:bCs/>
                <w:sz w:val="26"/>
                <w:szCs w:val="26"/>
                <w:shd w:val="clear" w:color="auto" w:fill="FFFFFF"/>
                <w:lang w:eastAsia="vi-VN"/>
              </w:rPr>
            </w:pPr>
            <w:r>
              <w:rPr>
                <w:rFonts w:cs="Times New Roman"/>
                <w:b/>
                <w:bCs/>
                <w:sz w:val="26"/>
                <w:szCs w:val="26"/>
                <w:shd w:val="clear" w:color="auto" w:fill="FFFFFF"/>
                <w:lang w:eastAsia="vi-VN"/>
              </w:rPr>
              <w:t>Số lượng/ khối lượng</w:t>
            </w:r>
          </w:p>
        </w:tc>
        <w:tc>
          <w:tcPr>
            <w:tcW w:w="303" w:type="pct"/>
            <w:tcBorders>
              <w:top w:val="single" w:color="auto" w:sz="4" w:space="0"/>
              <w:left w:val="single" w:color="auto" w:sz="4" w:space="0"/>
              <w:bottom w:val="nil"/>
              <w:right w:val="nil"/>
            </w:tcBorders>
            <w:shd w:val="clear" w:color="auto" w:fill="FFFFFF"/>
            <w:vAlign w:val="center"/>
          </w:tcPr>
          <w:p w14:paraId="4690BDB6">
            <w:pPr>
              <w:widowControl w:val="0"/>
              <w:spacing w:after="120" w:line="320" w:lineRule="exact"/>
              <w:jc w:val="center"/>
              <w:rPr>
                <w:rFonts w:cs="Times New Roman"/>
                <w:b/>
                <w:bCs/>
                <w:sz w:val="26"/>
                <w:szCs w:val="26"/>
                <w:shd w:val="clear" w:color="auto" w:fill="FFFFFF"/>
                <w:lang w:eastAsia="vi-VN"/>
              </w:rPr>
            </w:pPr>
            <w:r>
              <w:rPr>
                <w:rFonts w:cs="Times New Roman"/>
                <w:b/>
                <w:bCs/>
                <w:sz w:val="26"/>
                <w:szCs w:val="26"/>
                <w:shd w:val="clear" w:color="auto" w:fill="FFFFFF"/>
                <w:lang w:eastAsia="vi-VN"/>
              </w:rPr>
              <w:t>Đơn vị tính</w:t>
            </w:r>
          </w:p>
        </w:tc>
        <w:tc>
          <w:tcPr>
            <w:tcW w:w="557" w:type="pct"/>
            <w:tcBorders>
              <w:top w:val="single" w:color="auto" w:sz="4" w:space="0"/>
              <w:left w:val="single" w:color="auto" w:sz="4" w:space="0"/>
              <w:bottom w:val="nil"/>
              <w:right w:val="nil"/>
            </w:tcBorders>
            <w:shd w:val="clear" w:color="auto" w:fill="FFFFFF"/>
            <w:vAlign w:val="center"/>
          </w:tcPr>
          <w:p w14:paraId="39CABC98">
            <w:pPr>
              <w:widowControl w:val="0"/>
              <w:spacing w:after="120" w:line="320" w:lineRule="exact"/>
              <w:jc w:val="center"/>
              <w:rPr>
                <w:rFonts w:cs="Times New Roman"/>
                <w:b/>
                <w:bCs/>
                <w:sz w:val="26"/>
                <w:szCs w:val="26"/>
                <w:shd w:val="clear" w:color="auto" w:fill="FFFFFF"/>
                <w:lang w:eastAsia="vi-VN"/>
              </w:rPr>
            </w:pPr>
            <w:r>
              <w:rPr>
                <w:rFonts w:cs="Times New Roman"/>
                <w:b/>
                <w:bCs/>
                <w:sz w:val="26"/>
                <w:szCs w:val="26"/>
                <w:shd w:val="clear" w:color="auto" w:fill="FFFFFF"/>
                <w:lang w:eastAsia="vi-VN"/>
              </w:rPr>
              <w:t>Đơn giá</w:t>
            </w:r>
            <w:r>
              <w:rPr>
                <w:rFonts w:cs="Times New Roman"/>
                <w:b/>
                <w:bCs/>
                <w:sz w:val="26"/>
                <w:szCs w:val="26"/>
                <w:shd w:val="clear" w:color="auto" w:fill="FFFFFF"/>
                <w:vertAlign w:val="superscript"/>
                <w:lang w:eastAsia="vi-VN"/>
              </w:rPr>
              <w:t xml:space="preserve"> </w:t>
            </w:r>
            <w:r>
              <w:rPr>
                <w:rFonts w:cs="Times New Roman"/>
                <w:b/>
                <w:bCs/>
                <w:sz w:val="26"/>
                <w:szCs w:val="26"/>
                <w:shd w:val="clear" w:color="auto" w:fill="FFFFFF"/>
                <w:lang w:eastAsia="vi-VN"/>
              </w:rPr>
              <w:t>(VND)</w:t>
            </w:r>
          </w:p>
        </w:tc>
        <w:tc>
          <w:tcPr>
            <w:tcW w:w="558" w:type="pct"/>
            <w:tcBorders>
              <w:top w:val="single" w:color="auto" w:sz="4" w:space="0"/>
              <w:left w:val="single" w:color="auto" w:sz="4" w:space="0"/>
              <w:bottom w:val="nil"/>
              <w:right w:val="single" w:color="auto" w:sz="4" w:space="0"/>
            </w:tcBorders>
            <w:shd w:val="clear" w:color="auto" w:fill="FFFFFF"/>
            <w:vAlign w:val="center"/>
          </w:tcPr>
          <w:p w14:paraId="5009F98E">
            <w:pPr>
              <w:widowControl w:val="0"/>
              <w:spacing w:after="120" w:line="320" w:lineRule="exact"/>
              <w:jc w:val="center"/>
              <w:rPr>
                <w:rFonts w:cs="Times New Roman"/>
                <w:b/>
                <w:bCs/>
                <w:sz w:val="26"/>
                <w:szCs w:val="26"/>
                <w:shd w:val="clear" w:color="auto" w:fill="FFFFFF"/>
                <w:lang w:eastAsia="vi-VN"/>
              </w:rPr>
            </w:pPr>
            <w:r>
              <w:rPr>
                <w:rFonts w:cs="Times New Roman"/>
                <w:b/>
                <w:bCs/>
                <w:sz w:val="26"/>
                <w:szCs w:val="26"/>
                <w:shd w:val="clear" w:color="auto" w:fill="FFFFFF"/>
                <w:lang w:eastAsia="vi-VN"/>
              </w:rPr>
              <w:t>Thành tiền</w:t>
            </w:r>
          </w:p>
          <w:p w14:paraId="791821A7">
            <w:pPr>
              <w:widowControl w:val="0"/>
              <w:spacing w:after="120" w:line="320" w:lineRule="exact"/>
              <w:jc w:val="center"/>
              <w:rPr>
                <w:rFonts w:cs="Times New Roman"/>
                <w:b/>
                <w:bCs/>
                <w:sz w:val="26"/>
                <w:szCs w:val="26"/>
                <w:shd w:val="clear" w:color="auto" w:fill="FFFFFF"/>
                <w:lang w:eastAsia="vi-VN"/>
              </w:rPr>
            </w:pPr>
            <w:r>
              <w:rPr>
                <w:rFonts w:cs="Times New Roman"/>
                <w:b/>
                <w:bCs/>
                <w:sz w:val="26"/>
                <w:szCs w:val="26"/>
                <w:shd w:val="clear" w:color="auto" w:fill="FFFFFF"/>
                <w:lang w:eastAsia="vi-VN"/>
              </w:rPr>
              <w:t>(VND)</w:t>
            </w:r>
          </w:p>
        </w:tc>
        <w:tc>
          <w:tcPr>
            <w:tcW w:w="392" w:type="pct"/>
            <w:tcBorders>
              <w:top w:val="single" w:color="auto" w:sz="4" w:space="0"/>
              <w:left w:val="single" w:color="auto" w:sz="4" w:space="0"/>
              <w:bottom w:val="nil"/>
              <w:right w:val="single" w:color="auto" w:sz="4" w:space="0"/>
            </w:tcBorders>
            <w:shd w:val="clear" w:color="auto" w:fill="FFFFFF"/>
            <w:vAlign w:val="center"/>
          </w:tcPr>
          <w:p w14:paraId="10D1F648">
            <w:pPr>
              <w:widowControl w:val="0"/>
              <w:spacing w:after="120" w:line="320" w:lineRule="exact"/>
              <w:jc w:val="center"/>
              <w:rPr>
                <w:rFonts w:cs="Times New Roman"/>
                <w:b/>
                <w:bCs/>
                <w:sz w:val="26"/>
                <w:szCs w:val="26"/>
                <w:shd w:val="clear" w:color="auto" w:fill="FFFFFF"/>
                <w:lang w:eastAsia="vi-VN"/>
              </w:rPr>
            </w:pPr>
            <w:r>
              <w:rPr>
                <w:rFonts w:cs="Times New Roman"/>
                <w:b/>
                <w:bCs/>
                <w:sz w:val="26"/>
                <w:szCs w:val="26"/>
                <w:shd w:val="clear" w:color="auto" w:fill="FFFFFF"/>
                <w:lang w:eastAsia="vi-VN"/>
              </w:rPr>
              <w:t>Thuế suất (%)</w:t>
            </w:r>
          </w:p>
        </w:tc>
      </w:tr>
      <w:tr w14:paraId="4D48A0CD">
        <w:tblPrEx>
          <w:tblCellMar>
            <w:top w:w="0" w:type="dxa"/>
            <w:left w:w="0" w:type="dxa"/>
            <w:bottom w:w="0" w:type="dxa"/>
            <w:right w:w="0" w:type="dxa"/>
          </w:tblCellMar>
        </w:tblPrEx>
        <w:trPr>
          <w:trHeight w:val="18" w:hRule="atLeast"/>
          <w:jc w:val="center"/>
        </w:trPr>
        <w:tc>
          <w:tcPr>
            <w:tcW w:w="252" w:type="pct"/>
            <w:tcBorders>
              <w:top w:val="single" w:color="auto" w:sz="4" w:space="0"/>
              <w:left w:val="single" w:color="auto" w:sz="4" w:space="0"/>
              <w:bottom w:val="nil"/>
              <w:right w:val="nil"/>
            </w:tcBorders>
            <w:shd w:val="clear" w:color="auto" w:fill="FFFFFF"/>
            <w:vAlign w:val="bottom"/>
          </w:tcPr>
          <w:p w14:paraId="313221D6">
            <w:pPr>
              <w:widowControl w:val="0"/>
              <w:spacing w:after="120" w:line="320" w:lineRule="exact"/>
              <w:rPr>
                <w:rFonts w:cs="Times New Roman"/>
                <w:bCs/>
                <w:sz w:val="26"/>
                <w:szCs w:val="26"/>
                <w:shd w:val="clear" w:color="auto" w:fill="FFFFFF"/>
                <w:lang w:eastAsia="vi-VN"/>
              </w:rPr>
            </w:pPr>
            <w:r>
              <w:rPr>
                <w:rFonts w:cs="Times New Roman"/>
                <w:bCs/>
                <w:sz w:val="26"/>
                <w:szCs w:val="26"/>
                <w:shd w:val="clear" w:color="auto" w:fill="FFFFFF"/>
                <w:lang w:eastAsia="vi-VN"/>
              </w:rPr>
              <w:t>1</w:t>
            </w:r>
          </w:p>
        </w:tc>
        <w:tc>
          <w:tcPr>
            <w:tcW w:w="629" w:type="pct"/>
            <w:tcBorders>
              <w:top w:val="single" w:color="auto" w:sz="4" w:space="0"/>
              <w:left w:val="single" w:color="auto" w:sz="4" w:space="0"/>
              <w:bottom w:val="nil"/>
              <w:right w:val="nil"/>
            </w:tcBorders>
            <w:shd w:val="clear" w:color="auto" w:fill="FFFFFF"/>
            <w:vAlign w:val="center"/>
          </w:tcPr>
          <w:p w14:paraId="6B48CC42">
            <w:pPr>
              <w:widowControl w:val="0"/>
              <w:spacing w:after="120" w:line="320" w:lineRule="exact"/>
              <w:rPr>
                <w:rFonts w:cs="Times New Roman"/>
                <w:bCs/>
                <w:sz w:val="26"/>
                <w:szCs w:val="26"/>
                <w:shd w:val="clear" w:color="auto" w:fill="FFFFFF"/>
                <w:lang w:eastAsia="vi-VN"/>
              </w:rPr>
            </w:pPr>
          </w:p>
        </w:tc>
        <w:tc>
          <w:tcPr>
            <w:tcW w:w="692" w:type="pct"/>
            <w:tcBorders>
              <w:top w:val="single" w:color="auto" w:sz="4" w:space="0"/>
              <w:left w:val="single" w:color="auto" w:sz="4" w:space="0"/>
              <w:bottom w:val="nil"/>
              <w:right w:val="single" w:color="auto" w:sz="4" w:space="0"/>
            </w:tcBorders>
            <w:shd w:val="clear" w:color="auto" w:fill="FFFFFF"/>
          </w:tcPr>
          <w:p w14:paraId="62D0DEAF">
            <w:pPr>
              <w:widowControl w:val="0"/>
              <w:spacing w:after="120" w:line="320" w:lineRule="exact"/>
              <w:rPr>
                <w:rFonts w:cs="Times New Roman"/>
                <w:bCs/>
                <w:sz w:val="26"/>
                <w:szCs w:val="26"/>
                <w:shd w:val="clear" w:color="auto" w:fill="FFFFFF"/>
                <w:lang w:eastAsia="vi-VN"/>
              </w:rPr>
            </w:pPr>
          </w:p>
        </w:tc>
        <w:tc>
          <w:tcPr>
            <w:tcW w:w="441" w:type="pct"/>
            <w:tcBorders>
              <w:top w:val="single" w:color="auto" w:sz="4" w:space="0"/>
              <w:left w:val="single" w:color="auto" w:sz="4" w:space="0"/>
              <w:bottom w:val="nil"/>
              <w:right w:val="single" w:color="auto" w:sz="4" w:space="0"/>
            </w:tcBorders>
            <w:shd w:val="clear" w:color="auto" w:fill="FFFFFF"/>
          </w:tcPr>
          <w:p w14:paraId="01FBD032">
            <w:pPr>
              <w:widowControl w:val="0"/>
              <w:spacing w:after="120" w:line="320" w:lineRule="exact"/>
              <w:rPr>
                <w:rFonts w:cs="Times New Roman"/>
                <w:bCs/>
                <w:sz w:val="26"/>
                <w:szCs w:val="26"/>
                <w:shd w:val="clear" w:color="auto" w:fill="FFFFFF"/>
                <w:lang w:eastAsia="vi-VN"/>
              </w:rPr>
            </w:pPr>
          </w:p>
        </w:tc>
        <w:tc>
          <w:tcPr>
            <w:tcW w:w="668" w:type="pct"/>
            <w:tcBorders>
              <w:top w:val="single" w:color="auto" w:sz="4" w:space="0"/>
              <w:left w:val="single" w:color="auto" w:sz="4" w:space="0"/>
              <w:bottom w:val="nil"/>
              <w:right w:val="nil"/>
            </w:tcBorders>
            <w:shd w:val="clear" w:color="auto" w:fill="FFFFFF"/>
          </w:tcPr>
          <w:p w14:paraId="346EC1DE">
            <w:pPr>
              <w:widowControl w:val="0"/>
              <w:spacing w:after="120" w:line="320" w:lineRule="exact"/>
              <w:rPr>
                <w:rFonts w:cs="Times New Roman"/>
                <w:bCs/>
                <w:sz w:val="26"/>
                <w:szCs w:val="26"/>
                <w:shd w:val="clear" w:color="auto" w:fill="FFFFFF"/>
                <w:lang w:eastAsia="vi-VN"/>
              </w:rPr>
            </w:pPr>
          </w:p>
        </w:tc>
        <w:tc>
          <w:tcPr>
            <w:tcW w:w="507" w:type="pct"/>
            <w:tcBorders>
              <w:top w:val="single" w:color="auto" w:sz="4" w:space="0"/>
              <w:left w:val="single" w:color="auto" w:sz="4" w:space="0"/>
              <w:bottom w:val="nil"/>
              <w:right w:val="single" w:color="auto" w:sz="4" w:space="0"/>
            </w:tcBorders>
            <w:shd w:val="clear" w:color="auto" w:fill="FFFFFF"/>
          </w:tcPr>
          <w:p w14:paraId="181021DE">
            <w:pPr>
              <w:widowControl w:val="0"/>
              <w:spacing w:after="120" w:line="320" w:lineRule="exact"/>
              <w:rPr>
                <w:rFonts w:cs="Times New Roman"/>
                <w:bCs/>
                <w:sz w:val="26"/>
                <w:szCs w:val="26"/>
                <w:shd w:val="clear" w:color="auto" w:fill="FFFFFF"/>
                <w:lang w:eastAsia="vi-VN"/>
              </w:rPr>
            </w:pPr>
          </w:p>
        </w:tc>
        <w:tc>
          <w:tcPr>
            <w:tcW w:w="303" w:type="pct"/>
            <w:tcBorders>
              <w:top w:val="single" w:color="auto" w:sz="4" w:space="0"/>
              <w:left w:val="single" w:color="auto" w:sz="4" w:space="0"/>
              <w:bottom w:val="nil"/>
              <w:right w:val="nil"/>
            </w:tcBorders>
            <w:shd w:val="clear" w:color="auto" w:fill="FFFFFF"/>
          </w:tcPr>
          <w:p w14:paraId="3DEFFF51">
            <w:pPr>
              <w:widowControl w:val="0"/>
              <w:spacing w:after="120" w:line="320" w:lineRule="exact"/>
              <w:rPr>
                <w:rFonts w:cs="Times New Roman"/>
                <w:bCs/>
                <w:sz w:val="26"/>
                <w:szCs w:val="26"/>
                <w:shd w:val="clear" w:color="auto" w:fill="FFFFFF"/>
                <w:lang w:eastAsia="vi-VN"/>
              </w:rPr>
            </w:pPr>
          </w:p>
        </w:tc>
        <w:tc>
          <w:tcPr>
            <w:tcW w:w="557" w:type="pct"/>
            <w:tcBorders>
              <w:top w:val="single" w:color="auto" w:sz="4" w:space="0"/>
              <w:left w:val="single" w:color="auto" w:sz="4" w:space="0"/>
              <w:bottom w:val="nil"/>
              <w:right w:val="nil"/>
            </w:tcBorders>
            <w:shd w:val="clear" w:color="auto" w:fill="FFFFFF"/>
          </w:tcPr>
          <w:p w14:paraId="3B228CB6">
            <w:pPr>
              <w:widowControl w:val="0"/>
              <w:spacing w:after="120" w:line="320" w:lineRule="exact"/>
              <w:rPr>
                <w:rFonts w:cs="Times New Roman"/>
                <w:bCs/>
                <w:sz w:val="26"/>
                <w:szCs w:val="26"/>
                <w:shd w:val="clear" w:color="auto" w:fill="FFFFFF"/>
                <w:lang w:eastAsia="vi-VN"/>
              </w:rPr>
            </w:pPr>
          </w:p>
        </w:tc>
        <w:tc>
          <w:tcPr>
            <w:tcW w:w="558" w:type="pct"/>
            <w:tcBorders>
              <w:top w:val="single" w:color="auto" w:sz="4" w:space="0"/>
              <w:left w:val="single" w:color="auto" w:sz="4" w:space="0"/>
              <w:bottom w:val="nil"/>
              <w:right w:val="single" w:color="auto" w:sz="4" w:space="0"/>
            </w:tcBorders>
            <w:shd w:val="clear" w:color="auto" w:fill="FFFFFF"/>
          </w:tcPr>
          <w:p w14:paraId="1F9BDA7C">
            <w:pPr>
              <w:widowControl w:val="0"/>
              <w:spacing w:after="120" w:line="320" w:lineRule="exact"/>
              <w:rPr>
                <w:rFonts w:cs="Times New Roman"/>
                <w:bCs/>
                <w:sz w:val="26"/>
                <w:szCs w:val="26"/>
                <w:shd w:val="clear" w:color="auto" w:fill="FFFFFF"/>
                <w:lang w:eastAsia="vi-VN"/>
              </w:rPr>
            </w:pPr>
          </w:p>
        </w:tc>
        <w:tc>
          <w:tcPr>
            <w:tcW w:w="392" w:type="pct"/>
            <w:tcBorders>
              <w:top w:val="single" w:color="auto" w:sz="4" w:space="0"/>
              <w:left w:val="single" w:color="auto" w:sz="4" w:space="0"/>
              <w:bottom w:val="nil"/>
              <w:right w:val="single" w:color="auto" w:sz="4" w:space="0"/>
            </w:tcBorders>
            <w:shd w:val="clear" w:color="auto" w:fill="FFFFFF"/>
          </w:tcPr>
          <w:p w14:paraId="377CE421">
            <w:pPr>
              <w:widowControl w:val="0"/>
              <w:spacing w:after="120" w:line="320" w:lineRule="exact"/>
              <w:rPr>
                <w:rFonts w:cs="Times New Roman"/>
                <w:bCs/>
                <w:sz w:val="26"/>
                <w:szCs w:val="26"/>
                <w:shd w:val="clear" w:color="auto" w:fill="FFFFFF"/>
                <w:lang w:eastAsia="vi-VN"/>
              </w:rPr>
            </w:pPr>
          </w:p>
        </w:tc>
      </w:tr>
      <w:tr w14:paraId="03D0E36C">
        <w:tblPrEx>
          <w:tblCellMar>
            <w:top w:w="0" w:type="dxa"/>
            <w:left w:w="0" w:type="dxa"/>
            <w:bottom w:w="0" w:type="dxa"/>
            <w:right w:w="0" w:type="dxa"/>
          </w:tblCellMar>
        </w:tblPrEx>
        <w:trPr>
          <w:trHeight w:val="18" w:hRule="atLeast"/>
          <w:jc w:val="center"/>
        </w:trPr>
        <w:tc>
          <w:tcPr>
            <w:tcW w:w="252" w:type="pct"/>
            <w:tcBorders>
              <w:top w:val="single" w:color="auto" w:sz="4" w:space="0"/>
              <w:left w:val="single" w:color="auto" w:sz="4" w:space="0"/>
              <w:bottom w:val="nil"/>
              <w:right w:val="nil"/>
            </w:tcBorders>
            <w:shd w:val="clear" w:color="auto" w:fill="FFFFFF"/>
            <w:vAlign w:val="bottom"/>
          </w:tcPr>
          <w:p w14:paraId="764DB801">
            <w:pPr>
              <w:widowControl w:val="0"/>
              <w:spacing w:after="120" w:line="320" w:lineRule="exact"/>
              <w:rPr>
                <w:rFonts w:cs="Times New Roman"/>
                <w:bCs/>
                <w:sz w:val="26"/>
                <w:szCs w:val="26"/>
                <w:shd w:val="clear" w:color="auto" w:fill="FFFFFF"/>
                <w:lang w:eastAsia="vi-VN"/>
              </w:rPr>
            </w:pPr>
            <w:r>
              <w:rPr>
                <w:rFonts w:cs="Times New Roman"/>
                <w:bCs/>
                <w:sz w:val="26"/>
                <w:szCs w:val="26"/>
                <w:shd w:val="clear" w:color="auto" w:fill="FFFFFF"/>
                <w:lang w:eastAsia="vi-VN"/>
              </w:rPr>
              <w:t>2</w:t>
            </w:r>
          </w:p>
        </w:tc>
        <w:tc>
          <w:tcPr>
            <w:tcW w:w="629" w:type="pct"/>
            <w:tcBorders>
              <w:top w:val="single" w:color="auto" w:sz="4" w:space="0"/>
              <w:left w:val="single" w:color="auto" w:sz="4" w:space="0"/>
              <w:bottom w:val="nil"/>
              <w:right w:val="nil"/>
            </w:tcBorders>
            <w:shd w:val="clear" w:color="auto" w:fill="FFFFFF"/>
            <w:vAlign w:val="center"/>
          </w:tcPr>
          <w:p w14:paraId="1E98EEE8">
            <w:pPr>
              <w:widowControl w:val="0"/>
              <w:spacing w:after="120" w:line="320" w:lineRule="exact"/>
              <w:rPr>
                <w:rFonts w:cs="Times New Roman"/>
                <w:bCs/>
                <w:sz w:val="26"/>
                <w:szCs w:val="26"/>
                <w:shd w:val="clear" w:color="auto" w:fill="FFFFFF"/>
                <w:lang w:eastAsia="vi-VN"/>
              </w:rPr>
            </w:pPr>
          </w:p>
        </w:tc>
        <w:tc>
          <w:tcPr>
            <w:tcW w:w="692" w:type="pct"/>
            <w:tcBorders>
              <w:top w:val="single" w:color="auto" w:sz="4" w:space="0"/>
              <w:left w:val="single" w:color="auto" w:sz="4" w:space="0"/>
              <w:bottom w:val="nil"/>
              <w:right w:val="single" w:color="auto" w:sz="4" w:space="0"/>
            </w:tcBorders>
            <w:shd w:val="clear" w:color="auto" w:fill="FFFFFF"/>
          </w:tcPr>
          <w:p w14:paraId="6C120D86">
            <w:pPr>
              <w:widowControl w:val="0"/>
              <w:spacing w:after="120" w:line="320" w:lineRule="exact"/>
              <w:rPr>
                <w:rFonts w:cs="Times New Roman"/>
                <w:bCs/>
                <w:sz w:val="26"/>
                <w:szCs w:val="26"/>
                <w:shd w:val="clear" w:color="auto" w:fill="FFFFFF"/>
                <w:lang w:eastAsia="vi-VN"/>
              </w:rPr>
            </w:pPr>
          </w:p>
        </w:tc>
        <w:tc>
          <w:tcPr>
            <w:tcW w:w="441" w:type="pct"/>
            <w:tcBorders>
              <w:top w:val="single" w:color="auto" w:sz="4" w:space="0"/>
              <w:left w:val="single" w:color="auto" w:sz="4" w:space="0"/>
              <w:bottom w:val="nil"/>
              <w:right w:val="single" w:color="auto" w:sz="4" w:space="0"/>
            </w:tcBorders>
            <w:shd w:val="clear" w:color="auto" w:fill="FFFFFF"/>
          </w:tcPr>
          <w:p w14:paraId="0B9DC651">
            <w:pPr>
              <w:widowControl w:val="0"/>
              <w:spacing w:after="120" w:line="320" w:lineRule="exact"/>
              <w:rPr>
                <w:rFonts w:cs="Times New Roman"/>
                <w:bCs/>
                <w:sz w:val="26"/>
                <w:szCs w:val="26"/>
                <w:shd w:val="clear" w:color="auto" w:fill="FFFFFF"/>
                <w:lang w:val="en-US" w:eastAsia="vi-VN"/>
              </w:rPr>
            </w:pPr>
          </w:p>
        </w:tc>
        <w:tc>
          <w:tcPr>
            <w:tcW w:w="668" w:type="pct"/>
            <w:tcBorders>
              <w:top w:val="single" w:color="auto" w:sz="4" w:space="0"/>
              <w:left w:val="single" w:color="auto" w:sz="4" w:space="0"/>
              <w:bottom w:val="nil"/>
              <w:right w:val="nil"/>
            </w:tcBorders>
            <w:shd w:val="clear" w:color="auto" w:fill="FFFFFF"/>
          </w:tcPr>
          <w:p w14:paraId="3ECDD5FC">
            <w:pPr>
              <w:widowControl w:val="0"/>
              <w:spacing w:after="120" w:line="320" w:lineRule="exact"/>
              <w:rPr>
                <w:rFonts w:cs="Times New Roman"/>
                <w:bCs/>
                <w:sz w:val="26"/>
                <w:szCs w:val="26"/>
                <w:shd w:val="clear" w:color="auto" w:fill="FFFFFF"/>
                <w:lang w:eastAsia="vi-VN"/>
              </w:rPr>
            </w:pPr>
          </w:p>
        </w:tc>
        <w:tc>
          <w:tcPr>
            <w:tcW w:w="507" w:type="pct"/>
            <w:tcBorders>
              <w:top w:val="single" w:color="auto" w:sz="4" w:space="0"/>
              <w:left w:val="single" w:color="auto" w:sz="4" w:space="0"/>
              <w:bottom w:val="nil"/>
              <w:right w:val="single" w:color="auto" w:sz="4" w:space="0"/>
            </w:tcBorders>
            <w:shd w:val="clear" w:color="auto" w:fill="FFFFFF"/>
          </w:tcPr>
          <w:p w14:paraId="7997061A">
            <w:pPr>
              <w:widowControl w:val="0"/>
              <w:spacing w:after="120" w:line="320" w:lineRule="exact"/>
              <w:rPr>
                <w:rFonts w:cs="Times New Roman"/>
                <w:bCs/>
                <w:sz w:val="26"/>
                <w:szCs w:val="26"/>
                <w:shd w:val="clear" w:color="auto" w:fill="FFFFFF"/>
                <w:lang w:eastAsia="vi-VN"/>
              </w:rPr>
            </w:pPr>
          </w:p>
        </w:tc>
        <w:tc>
          <w:tcPr>
            <w:tcW w:w="303" w:type="pct"/>
            <w:tcBorders>
              <w:top w:val="single" w:color="auto" w:sz="4" w:space="0"/>
              <w:left w:val="single" w:color="auto" w:sz="4" w:space="0"/>
              <w:bottom w:val="nil"/>
              <w:right w:val="nil"/>
            </w:tcBorders>
            <w:shd w:val="clear" w:color="auto" w:fill="FFFFFF"/>
          </w:tcPr>
          <w:p w14:paraId="31D20051">
            <w:pPr>
              <w:widowControl w:val="0"/>
              <w:spacing w:after="120" w:line="320" w:lineRule="exact"/>
              <w:rPr>
                <w:rFonts w:cs="Times New Roman"/>
                <w:bCs/>
                <w:sz w:val="26"/>
                <w:szCs w:val="26"/>
                <w:shd w:val="clear" w:color="auto" w:fill="FFFFFF"/>
                <w:lang w:eastAsia="vi-VN"/>
              </w:rPr>
            </w:pPr>
          </w:p>
        </w:tc>
        <w:tc>
          <w:tcPr>
            <w:tcW w:w="557" w:type="pct"/>
            <w:tcBorders>
              <w:top w:val="single" w:color="auto" w:sz="4" w:space="0"/>
              <w:left w:val="single" w:color="auto" w:sz="4" w:space="0"/>
              <w:bottom w:val="nil"/>
              <w:right w:val="nil"/>
            </w:tcBorders>
            <w:shd w:val="clear" w:color="auto" w:fill="FFFFFF"/>
          </w:tcPr>
          <w:p w14:paraId="6062FA6A">
            <w:pPr>
              <w:widowControl w:val="0"/>
              <w:spacing w:after="120" w:line="320" w:lineRule="exact"/>
              <w:rPr>
                <w:rFonts w:cs="Times New Roman"/>
                <w:bCs/>
                <w:sz w:val="26"/>
                <w:szCs w:val="26"/>
                <w:shd w:val="clear" w:color="auto" w:fill="FFFFFF"/>
                <w:lang w:eastAsia="vi-VN"/>
              </w:rPr>
            </w:pPr>
          </w:p>
        </w:tc>
        <w:tc>
          <w:tcPr>
            <w:tcW w:w="558" w:type="pct"/>
            <w:tcBorders>
              <w:top w:val="single" w:color="auto" w:sz="4" w:space="0"/>
              <w:left w:val="single" w:color="auto" w:sz="4" w:space="0"/>
              <w:bottom w:val="nil"/>
              <w:right w:val="single" w:color="auto" w:sz="4" w:space="0"/>
            </w:tcBorders>
            <w:shd w:val="clear" w:color="auto" w:fill="FFFFFF"/>
          </w:tcPr>
          <w:p w14:paraId="25D6A64E">
            <w:pPr>
              <w:widowControl w:val="0"/>
              <w:spacing w:after="120" w:line="320" w:lineRule="exact"/>
              <w:rPr>
                <w:rFonts w:cs="Times New Roman"/>
                <w:bCs/>
                <w:sz w:val="26"/>
                <w:szCs w:val="26"/>
                <w:shd w:val="clear" w:color="auto" w:fill="FFFFFF"/>
                <w:lang w:eastAsia="vi-VN"/>
              </w:rPr>
            </w:pPr>
          </w:p>
        </w:tc>
        <w:tc>
          <w:tcPr>
            <w:tcW w:w="392" w:type="pct"/>
            <w:tcBorders>
              <w:top w:val="single" w:color="auto" w:sz="4" w:space="0"/>
              <w:left w:val="single" w:color="auto" w:sz="4" w:space="0"/>
              <w:bottom w:val="nil"/>
              <w:right w:val="single" w:color="auto" w:sz="4" w:space="0"/>
            </w:tcBorders>
            <w:shd w:val="clear" w:color="auto" w:fill="FFFFFF"/>
          </w:tcPr>
          <w:p w14:paraId="502DB04A">
            <w:pPr>
              <w:widowControl w:val="0"/>
              <w:spacing w:after="120" w:line="320" w:lineRule="exact"/>
              <w:rPr>
                <w:rFonts w:cs="Times New Roman"/>
                <w:bCs/>
                <w:sz w:val="26"/>
                <w:szCs w:val="26"/>
                <w:shd w:val="clear" w:color="auto" w:fill="FFFFFF"/>
                <w:lang w:eastAsia="vi-VN"/>
              </w:rPr>
            </w:pPr>
          </w:p>
        </w:tc>
      </w:tr>
      <w:tr w14:paraId="2243711C">
        <w:tblPrEx>
          <w:tblCellMar>
            <w:top w:w="0" w:type="dxa"/>
            <w:left w:w="0" w:type="dxa"/>
            <w:bottom w:w="0" w:type="dxa"/>
            <w:right w:w="0" w:type="dxa"/>
          </w:tblCellMar>
        </w:tblPrEx>
        <w:trPr>
          <w:trHeight w:val="18" w:hRule="atLeast"/>
          <w:jc w:val="center"/>
        </w:trPr>
        <w:tc>
          <w:tcPr>
            <w:tcW w:w="252" w:type="pct"/>
            <w:tcBorders>
              <w:top w:val="single" w:color="auto" w:sz="4" w:space="0"/>
              <w:left w:val="single" w:color="auto" w:sz="4" w:space="0"/>
              <w:bottom w:val="single" w:color="auto" w:sz="4" w:space="0"/>
              <w:right w:val="nil"/>
            </w:tcBorders>
            <w:shd w:val="clear" w:color="auto" w:fill="FFFFFF"/>
            <w:vAlign w:val="center"/>
          </w:tcPr>
          <w:p w14:paraId="7FB16638">
            <w:pPr>
              <w:widowControl w:val="0"/>
              <w:spacing w:after="120" w:line="320" w:lineRule="exact"/>
              <w:rPr>
                <w:rFonts w:cs="Times New Roman"/>
                <w:bCs/>
                <w:sz w:val="26"/>
                <w:szCs w:val="26"/>
                <w:shd w:val="clear" w:color="auto" w:fill="FFFFFF"/>
                <w:lang w:eastAsia="vi-VN"/>
              </w:rPr>
            </w:pPr>
            <w:r>
              <w:rPr>
                <w:rFonts w:cs="Times New Roman"/>
                <w:bCs/>
                <w:sz w:val="26"/>
                <w:szCs w:val="26"/>
                <w:shd w:val="clear" w:color="auto" w:fill="FFFFFF"/>
                <w:lang w:eastAsia="vi-VN"/>
              </w:rPr>
              <w:t>n</w:t>
            </w:r>
          </w:p>
        </w:tc>
        <w:tc>
          <w:tcPr>
            <w:tcW w:w="629" w:type="pct"/>
            <w:tcBorders>
              <w:top w:val="single" w:color="auto" w:sz="4" w:space="0"/>
              <w:left w:val="single" w:color="auto" w:sz="4" w:space="0"/>
              <w:bottom w:val="single" w:color="auto" w:sz="4" w:space="0"/>
              <w:right w:val="nil"/>
            </w:tcBorders>
            <w:shd w:val="clear" w:color="auto" w:fill="FFFFFF"/>
          </w:tcPr>
          <w:p w14:paraId="53AB7731">
            <w:pPr>
              <w:widowControl w:val="0"/>
              <w:spacing w:after="120" w:line="320" w:lineRule="exact"/>
              <w:rPr>
                <w:rFonts w:cs="Times New Roman"/>
                <w:bCs/>
                <w:sz w:val="26"/>
                <w:szCs w:val="26"/>
                <w:shd w:val="clear" w:color="auto" w:fill="FFFFFF"/>
                <w:lang w:eastAsia="vi-VN"/>
              </w:rPr>
            </w:pPr>
            <w:r>
              <w:rPr>
                <w:rFonts w:cs="Times New Roman"/>
                <w:bCs/>
                <w:sz w:val="26"/>
                <w:szCs w:val="26"/>
                <w:shd w:val="clear" w:color="auto" w:fill="FFFFFF"/>
                <w:lang w:eastAsia="vi-VN"/>
              </w:rPr>
              <w:t>…</w:t>
            </w:r>
          </w:p>
        </w:tc>
        <w:tc>
          <w:tcPr>
            <w:tcW w:w="692" w:type="pct"/>
            <w:tcBorders>
              <w:top w:val="single" w:color="auto" w:sz="4" w:space="0"/>
              <w:left w:val="single" w:color="auto" w:sz="4" w:space="0"/>
              <w:bottom w:val="single" w:color="auto" w:sz="4" w:space="0"/>
              <w:right w:val="single" w:color="auto" w:sz="4" w:space="0"/>
            </w:tcBorders>
            <w:shd w:val="clear" w:color="auto" w:fill="FFFFFF"/>
          </w:tcPr>
          <w:p w14:paraId="74086E96">
            <w:pPr>
              <w:widowControl w:val="0"/>
              <w:spacing w:after="120" w:line="320" w:lineRule="exact"/>
              <w:rPr>
                <w:rFonts w:cs="Times New Roman"/>
                <w:bCs/>
                <w:sz w:val="26"/>
                <w:szCs w:val="26"/>
                <w:shd w:val="clear" w:color="auto" w:fill="FFFFFF"/>
                <w:lang w:eastAsia="vi-VN"/>
              </w:rPr>
            </w:pPr>
          </w:p>
        </w:tc>
        <w:tc>
          <w:tcPr>
            <w:tcW w:w="441" w:type="pct"/>
            <w:tcBorders>
              <w:top w:val="single" w:color="auto" w:sz="4" w:space="0"/>
              <w:left w:val="single" w:color="auto" w:sz="4" w:space="0"/>
              <w:bottom w:val="single" w:color="auto" w:sz="4" w:space="0"/>
              <w:right w:val="single" w:color="auto" w:sz="4" w:space="0"/>
            </w:tcBorders>
            <w:shd w:val="clear" w:color="auto" w:fill="FFFFFF"/>
          </w:tcPr>
          <w:p w14:paraId="02875DE4">
            <w:pPr>
              <w:widowControl w:val="0"/>
              <w:spacing w:after="120" w:line="320" w:lineRule="exact"/>
              <w:rPr>
                <w:rFonts w:cs="Times New Roman"/>
                <w:bCs/>
                <w:sz w:val="26"/>
                <w:szCs w:val="26"/>
                <w:shd w:val="clear" w:color="auto" w:fill="FFFFFF"/>
                <w:lang w:eastAsia="vi-VN"/>
              </w:rPr>
            </w:pPr>
          </w:p>
        </w:tc>
        <w:tc>
          <w:tcPr>
            <w:tcW w:w="668" w:type="pct"/>
            <w:tcBorders>
              <w:top w:val="single" w:color="auto" w:sz="4" w:space="0"/>
              <w:left w:val="single" w:color="auto" w:sz="4" w:space="0"/>
              <w:bottom w:val="single" w:color="auto" w:sz="4" w:space="0"/>
              <w:right w:val="nil"/>
            </w:tcBorders>
            <w:shd w:val="clear" w:color="auto" w:fill="FFFFFF"/>
          </w:tcPr>
          <w:p w14:paraId="1E29AECD">
            <w:pPr>
              <w:widowControl w:val="0"/>
              <w:spacing w:after="120" w:line="320" w:lineRule="exact"/>
              <w:rPr>
                <w:rFonts w:cs="Times New Roman"/>
                <w:bCs/>
                <w:sz w:val="26"/>
                <w:szCs w:val="26"/>
                <w:shd w:val="clear" w:color="auto" w:fill="FFFFFF"/>
                <w:lang w:eastAsia="vi-VN"/>
              </w:rPr>
            </w:pPr>
          </w:p>
        </w:tc>
        <w:tc>
          <w:tcPr>
            <w:tcW w:w="507" w:type="pct"/>
            <w:tcBorders>
              <w:top w:val="single" w:color="auto" w:sz="4" w:space="0"/>
              <w:left w:val="single" w:color="auto" w:sz="4" w:space="0"/>
              <w:bottom w:val="single" w:color="auto" w:sz="4" w:space="0"/>
              <w:right w:val="single" w:color="auto" w:sz="4" w:space="0"/>
            </w:tcBorders>
            <w:shd w:val="clear" w:color="auto" w:fill="FFFFFF"/>
          </w:tcPr>
          <w:p w14:paraId="4023A014">
            <w:pPr>
              <w:widowControl w:val="0"/>
              <w:spacing w:after="120" w:line="320" w:lineRule="exact"/>
              <w:rPr>
                <w:rFonts w:cs="Times New Roman"/>
                <w:bCs/>
                <w:sz w:val="26"/>
                <w:szCs w:val="26"/>
                <w:shd w:val="clear" w:color="auto" w:fill="FFFFFF"/>
                <w:lang w:eastAsia="vi-VN"/>
              </w:rPr>
            </w:pPr>
          </w:p>
        </w:tc>
        <w:tc>
          <w:tcPr>
            <w:tcW w:w="303" w:type="pct"/>
            <w:tcBorders>
              <w:top w:val="single" w:color="auto" w:sz="4" w:space="0"/>
              <w:left w:val="single" w:color="auto" w:sz="4" w:space="0"/>
              <w:bottom w:val="single" w:color="auto" w:sz="4" w:space="0"/>
              <w:right w:val="nil"/>
            </w:tcBorders>
            <w:shd w:val="clear" w:color="auto" w:fill="FFFFFF"/>
          </w:tcPr>
          <w:p w14:paraId="31C0F330">
            <w:pPr>
              <w:widowControl w:val="0"/>
              <w:spacing w:after="120" w:line="320" w:lineRule="exact"/>
              <w:rPr>
                <w:rFonts w:cs="Times New Roman"/>
                <w:bCs/>
                <w:sz w:val="26"/>
                <w:szCs w:val="26"/>
                <w:shd w:val="clear" w:color="auto" w:fill="FFFFFF"/>
                <w:lang w:eastAsia="vi-VN"/>
              </w:rPr>
            </w:pPr>
          </w:p>
        </w:tc>
        <w:tc>
          <w:tcPr>
            <w:tcW w:w="557" w:type="pct"/>
            <w:tcBorders>
              <w:top w:val="single" w:color="auto" w:sz="4" w:space="0"/>
              <w:left w:val="single" w:color="auto" w:sz="4" w:space="0"/>
              <w:bottom w:val="single" w:color="auto" w:sz="4" w:space="0"/>
              <w:right w:val="nil"/>
            </w:tcBorders>
            <w:shd w:val="clear" w:color="auto" w:fill="FFFFFF"/>
          </w:tcPr>
          <w:p w14:paraId="523E3CB2">
            <w:pPr>
              <w:widowControl w:val="0"/>
              <w:spacing w:after="120" w:line="320" w:lineRule="exact"/>
              <w:rPr>
                <w:rFonts w:cs="Times New Roman"/>
                <w:bCs/>
                <w:sz w:val="26"/>
                <w:szCs w:val="26"/>
                <w:shd w:val="clear" w:color="auto" w:fill="FFFFFF"/>
                <w:lang w:eastAsia="vi-VN"/>
              </w:rPr>
            </w:pPr>
          </w:p>
        </w:tc>
        <w:tc>
          <w:tcPr>
            <w:tcW w:w="558" w:type="pct"/>
            <w:tcBorders>
              <w:top w:val="single" w:color="auto" w:sz="4" w:space="0"/>
              <w:left w:val="single" w:color="auto" w:sz="4" w:space="0"/>
              <w:bottom w:val="single" w:color="auto" w:sz="4" w:space="0"/>
              <w:right w:val="single" w:color="auto" w:sz="4" w:space="0"/>
            </w:tcBorders>
            <w:shd w:val="clear" w:color="auto" w:fill="FFFFFF"/>
          </w:tcPr>
          <w:p w14:paraId="1C348EB1">
            <w:pPr>
              <w:widowControl w:val="0"/>
              <w:spacing w:after="120" w:line="320" w:lineRule="exact"/>
              <w:rPr>
                <w:rFonts w:cs="Times New Roman"/>
                <w:bCs/>
                <w:sz w:val="26"/>
                <w:szCs w:val="26"/>
                <w:shd w:val="clear" w:color="auto" w:fill="FFFFFF"/>
                <w:lang w:eastAsia="vi-VN"/>
              </w:rPr>
            </w:pPr>
          </w:p>
        </w:tc>
        <w:tc>
          <w:tcPr>
            <w:tcW w:w="392" w:type="pct"/>
            <w:tcBorders>
              <w:top w:val="single" w:color="auto" w:sz="4" w:space="0"/>
              <w:left w:val="single" w:color="auto" w:sz="4" w:space="0"/>
              <w:bottom w:val="single" w:color="auto" w:sz="4" w:space="0"/>
              <w:right w:val="single" w:color="auto" w:sz="4" w:space="0"/>
            </w:tcBorders>
            <w:shd w:val="clear" w:color="auto" w:fill="FFFFFF"/>
          </w:tcPr>
          <w:p w14:paraId="38AB64B6">
            <w:pPr>
              <w:widowControl w:val="0"/>
              <w:spacing w:after="120" w:line="320" w:lineRule="exact"/>
              <w:rPr>
                <w:rFonts w:cs="Times New Roman"/>
                <w:bCs/>
                <w:sz w:val="26"/>
                <w:szCs w:val="26"/>
                <w:shd w:val="clear" w:color="auto" w:fill="FFFFFF"/>
                <w:lang w:eastAsia="vi-VN"/>
              </w:rPr>
            </w:pPr>
          </w:p>
        </w:tc>
      </w:tr>
    </w:tbl>
    <w:p w14:paraId="10571498">
      <w:pPr>
        <w:widowControl w:val="0"/>
        <w:spacing w:after="120" w:line="320" w:lineRule="exact"/>
        <w:jc w:val="both"/>
        <w:rPr>
          <w:rFonts w:cs="Times New Roman"/>
          <w:bCs/>
          <w:i/>
          <w:iCs/>
          <w:szCs w:val="28"/>
          <w:shd w:val="clear" w:color="auto" w:fill="FFFFFF"/>
          <w:lang w:eastAsia="vi-VN"/>
        </w:rPr>
      </w:pPr>
      <w:r>
        <w:rPr>
          <w:rFonts w:cs="Times New Roman"/>
          <w:bCs/>
          <w:i/>
          <w:iCs/>
          <w:szCs w:val="28"/>
          <w:shd w:val="clear" w:color="auto" w:fill="FFFFFF"/>
          <w:lang w:eastAsia="vi-VN"/>
        </w:rPr>
        <w:t xml:space="preserve">       </w:t>
      </w:r>
      <w:r>
        <w:rPr>
          <w:rFonts w:cs="Times New Roman"/>
          <w:bCs/>
          <w:i/>
          <w:iCs/>
          <w:szCs w:val="28"/>
          <w:shd w:val="clear" w:color="auto" w:fill="FFFFFF"/>
          <w:lang w:eastAsia="vi-VN"/>
        </w:rPr>
        <w:tab/>
      </w:r>
      <w:r>
        <w:rPr>
          <w:rFonts w:cs="Times New Roman"/>
          <w:bCs/>
          <w:i/>
          <w:iCs/>
          <w:szCs w:val="28"/>
          <w:shd w:val="clear" w:color="auto" w:fill="FFFFFF"/>
          <w:lang w:eastAsia="vi-VN"/>
        </w:rPr>
        <w:t xml:space="preserve">   </w:t>
      </w:r>
    </w:p>
    <w:p w14:paraId="77BDC164">
      <w:pPr>
        <w:widowControl w:val="0"/>
        <w:spacing w:after="120" w:line="320" w:lineRule="exact"/>
        <w:ind w:firstLine="720"/>
        <w:jc w:val="both"/>
        <w:rPr>
          <w:rFonts w:cs="Times New Roman"/>
          <w:szCs w:val="28"/>
          <w:lang w:val="en-US"/>
        </w:rPr>
      </w:pPr>
      <w:r>
        <w:rPr>
          <w:rFonts w:cs="Times New Roman"/>
          <w:bCs/>
          <w:iCs/>
          <w:szCs w:val="28"/>
          <w:shd w:val="clear" w:color="auto" w:fill="FFFFFF"/>
          <w:lang w:eastAsia="vi-VN"/>
        </w:rPr>
        <w:t>2.</w:t>
      </w:r>
      <w:r>
        <w:rPr>
          <w:rFonts w:cs="Times New Roman"/>
          <w:szCs w:val="28"/>
        </w:rPr>
        <w:t xml:space="preserve"> Báo giá đã bao gồm các loại thuế, phí, lệ phí (nếu có)…. Và các khoản chi phí khác có liên quan, bên mua không phải trả thêm bất kỳ khoản chi phí nào khác</w:t>
      </w:r>
      <w:r>
        <w:rPr>
          <w:rFonts w:cs="Times New Roman"/>
          <w:szCs w:val="28"/>
          <w:lang w:val="en-US"/>
        </w:rPr>
        <w:t>.</w:t>
      </w:r>
    </w:p>
    <w:p w14:paraId="45B0FFAE">
      <w:pPr>
        <w:widowControl w:val="0"/>
        <w:spacing w:after="120" w:line="320" w:lineRule="exact"/>
        <w:ind w:firstLine="720"/>
        <w:jc w:val="both"/>
        <w:rPr>
          <w:rFonts w:cs="Times New Roman"/>
          <w:spacing w:val="-8"/>
          <w:szCs w:val="28"/>
        </w:rPr>
      </w:pPr>
      <w:r>
        <w:rPr>
          <w:rFonts w:cs="Times New Roman"/>
          <w:spacing w:val="-8"/>
        </w:rPr>
        <w:t xml:space="preserve">3. </w:t>
      </w:r>
      <w:r>
        <w:rPr>
          <w:rFonts w:cs="Times New Roman"/>
          <w:spacing w:val="-8"/>
          <w:lang w:val="en-US"/>
        </w:rPr>
        <w:t xml:space="preserve">Hàng hoá </w:t>
      </w:r>
      <w:r>
        <w:rPr>
          <w:rFonts w:cs="Times New Roman"/>
          <w:spacing w:val="-8"/>
        </w:rPr>
        <w:t xml:space="preserve">mới </w:t>
      </w:r>
      <w:r>
        <w:rPr>
          <w:rFonts w:cs="Times New Roman"/>
          <w:spacing w:val="-8"/>
          <w:lang w:val="en-US"/>
        </w:rPr>
        <w:t>100%</w:t>
      </w:r>
      <w:r>
        <w:rPr>
          <w:rFonts w:cs="Times New Roman"/>
          <w:spacing w:val="-8"/>
        </w:rPr>
        <w:t>, bàn giao tại đơn vị sử dụng. Bảo hành theo tiêu chuẩn nhà sản xuất …. Tháng (nếu có).</w:t>
      </w:r>
    </w:p>
    <w:p w14:paraId="324D94D9">
      <w:pPr>
        <w:widowControl w:val="0"/>
        <w:spacing w:after="120" w:line="320" w:lineRule="exact"/>
        <w:ind w:firstLine="720"/>
        <w:jc w:val="both"/>
        <w:rPr>
          <w:rFonts w:cs="Times New Roman"/>
          <w:bCs/>
          <w:szCs w:val="28"/>
          <w:shd w:val="clear" w:color="auto" w:fill="FFFFFF"/>
          <w:lang w:eastAsia="vi-VN"/>
        </w:rPr>
      </w:pPr>
      <w:r>
        <w:rPr>
          <w:rFonts w:cs="Times New Roman"/>
          <w:bCs/>
          <w:szCs w:val="28"/>
          <w:shd w:val="clear" w:color="auto" w:fill="FFFFFF"/>
          <w:lang w:eastAsia="vi-VN"/>
        </w:rPr>
        <w:t xml:space="preserve">4. Báo giá này có hiệu lực trong vòng: 90 ngày, kể từ ngày </w:t>
      </w:r>
      <w:r>
        <w:rPr>
          <w:rFonts w:cs="Times New Roman"/>
          <w:bCs/>
          <w:szCs w:val="28"/>
          <w:shd w:val="clear" w:color="auto" w:fill="FFFFFF"/>
          <w:lang w:val="en-US" w:eastAsia="vi-VN"/>
        </w:rPr>
        <w:t>24/8/2026</w:t>
      </w:r>
      <w:r>
        <w:rPr>
          <w:rFonts w:cs="Times New Roman"/>
          <w:bCs/>
          <w:szCs w:val="28"/>
          <w:shd w:val="clear" w:color="auto" w:fill="FFFFFF"/>
          <w:lang w:eastAsia="vi-VN"/>
        </w:rPr>
        <w:t>.</w:t>
      </w:r>
    </w:p>
    <w:p w14:paraId="5EE4EF6B">
      <w:pPr>
        <w:widowControl w:val="0"/>
        <w:spacing w:after="120" w:line="320" w:lineRule="exact"/>
        <w:ind w:firstLine="720"/>
        <w:jc w:val="both"/>
        <w:rPr>
          <w:rFonts w:cs="Times New Roman"/>
          <w:bCs/>
          <w:i/>
          <w:iCs/>
          <w:szCs w:val="28"/>
          <w:shd w:val="clear" w:color="auto" w:fill="FFFFFF"/>
          <w:lang w:eastAsia="vi-VN"/>
        </w:rPr>
      </w:pPr>
      <w:r>
        <w:rPr>
          <w:rFonts w:cs="Times New Roman"/>
          <w:bCs/>
          <w:szCs w:val="28"/>
          <w:shd w:val="clear" w:color="auto" w:fill="FFFFFF"/>
          <w:lang w:val="en-US" w:eastAsia="vi-VN"/>
        </w:rPr>
        <w:t>5</w:t>
      </w:r>
      <w:r>
        <w:rPr>
          <w:rFonts w:cs="Times New Roman"/>
          <w:bCs/>
          <w:szCs w:val="28"/>
          <w:shd w:val="clear" w:color="auto" w:fill="FFFFFF"/>
          <w:lang w:eastAsia="vi-VN"/>
        </w:rPr>
        <w:t>. Chúng tôi cam kết:</w:t>
      </w:r>
    </w:p>
    <w:p w14:paraId="0FC1D26A">
      <w:pPr>
        <w:widowControl w:val="0"/>
        <w:spacing w:after="120" w:line="320" w:lineRule="exact"/>
        <w:ind w:firstLine="720"/>
        <w:jc w:val="both"/>
        <w:rPr>
          <w:rFonts w:cs="Times New Roman"/>
          <w:bCs/>
          <w:szCs w:val="28"/>
          <w:shd w:val="clear" w:color="auto" w:fill="FFFFFF"/>
          <w:lang w:eastAsia="vi-VN"/>
        </w:rPr>
      </w:pPr>
      <w:r>
        <w:rPr>
          <w:rFonts w:cs="Times New Roman"/>
          <w:bCs/>
          <w:szCs w:val="28"/>
          <w:shd w:val="clear" w:color="auto" w:fill="FFFFFF"/>
          <w:lang w:eastAsia="vi-VN"/>
        </w:rPr>
        <w:t>- Chịu trách nhiệm về việc cung cấp thông tin về giá của hàng hóa, dịch vụ phù hợp với khả năng cung cấp của mình và bảo đảm việc cung cấp báo giá không vi phạm quy định của pháp luật về cạnh tranh, bán phá giá hoặc nâng khống giá.</w:t>
      </w:r>
    </w:p>
    <w:p w14:paraId="19B1D5A5">
      <w:pPr>
        <w:widowControl w:val="0"/>
        <w:spacing w:after="120" w:line="320" w:lineRule="exact"/>
        <w:ind w:firstLine="720"/>
        <w:jc w:val="both"/>
        <w:rPr>
          <w:rFonts w:cs="Times New Roman"/>
          <w:bCs/>
          <w:szCs w:val="28"/>
          <w:shd w:val="clear" w:color="auto" w:fill="FFFFFF"/>
          <w:lang w:eastAsia="vi-VN"/>
        </w:rPr>
      </w:pPr>
      <w:r>
        <w:rPr>
          <w:rFonts w:cs="Times New Roman"/>
          <w:bCs/>
          <w:szCs w:val="28"/>
          <w:shd w:val="clear" w:color="auto" w:fill="FFFFFF"/>
          <w:lang w:eastAsia="vi-VN"/>
        </w:rPr>
        <w:t>- Không đang trong quá trình thực hiện thủ tục giải thể hoặc bị thu hồi Giấy chứng nhận đăng ký doanh nghiệp hoặc Giấy chứng nhận đăng ký hộ kinh doanh hoặc các tài liệu tương đương khác; không thuộc trường hợp mất khả năng thanh toán theo quy định của pháp luật về doanh nghiệp.</w:t>
      </w:r>
    </w:p>
    <w:p w14:paraId="565DEA11">
      <w:pPr>
        <w:widowControl w:val="0"/>
        <w:spacing w:after="0" w:line="240" w:lineRule="auto"/>
        <w:jc w:val="center"/>
        <w:rPr>
          <w:rFonts w:cs="Times New Roman"/>
          <w:bCs/>
          <w:szCs w:val="28"/>
          <w:shd w:val="clear" w:color="auto" w:fill="FFFFFF"/>
          <w:lang w:val="en-US" w:eastAsia="vi-VN"/>
        </w:rPr>
      </w:pPr>
      <w:r>
        <w:rPr>
          <w:rFonts w:cs="Times New Roman"/>
          <w:bCs/>
          <w:i/>
          <w:iCs/>
          <w:szCs w:val="28"/>
          <w:shd w:val="clear" w:color="auto" w:fill="FFFFFF"/>
          <w:lang w:val="en-US" w:eastAsia="vi-VN"/>
        </w:rPr>
        <w:t xml:space="preserve">                                                                                                                 </w:t>
      </w:r>
      <w:r>
        <w:rPr>
          <w:rFonts w:cs="Times New Roman"/>
          <w:bCs/>
          <w:i/>
          <w:iCs/>
          <w:szCs w:val="28"/>
          <w:shd w:val="clear" w:color="auto" w:fill="FFFFFF"/>
          <w:lang w:eastAsia="vi-VN"/>
        </w:rPr>
        <w:t>…., ngày.... tháng....năm 202</w:t>
      </w:r>
      <w:r>
        <w:rPr>
          <w:rFonts w:cs="Times New Roman"/>
          <w:bCs/>
          <w:i/>
          <w:iCs/>
          <w:szCs w:val="28"/>
          <w:shd w:val="clear" w:color="auto" w:fill="FFFFFF"/>
          <w:lang w:val="en-US" w:eastAsia="vi-VN"/>
        </w:rPr>
        <w:t>6</w:t>
      </w:r>
    </w:p>
    <w:p w14:paraId="6BE960D2">
      <w:pPr>
        <w:widowControl w:val="0"/>
        <w:spacing w:after="0" w:line="240" w:lineRule="auto"/>
        <w:jc w:val="center"/>
        <w:rPr>
          <w:rFonts w:cs="Times New Roman"/>
          <w:b/>
          <w:bCs/>
          <w:i/>
          <w:iCs/>
          <w:szCs w:val="28"/>
          <w:shd w:val="clear" w:color="auto" w:fill="FFFFFF"/>
          <w:lang w:val="en-US" w:eastAsia="vi-VN"/>
        </w:rPr>
      </w:pPr>
      <w:r>
        <w:rPr>
          <w:rFonts w:cs="Times New Roman"/>
          <w:b/>
          <w:bCs/>
          <w:szCs w:val="28"/>
          <w:shd w:val="clear" w:color="auto" w:fill="FFFFFF"/>
          <w:lang w:val="en-US" w:eastAsia="vi-VN"/>
        </w:rPr>
        <w:t xml:space="preserve">                                                                                                               ĐẠI DIỆN ĐƠN VỊ BÁO GIÁ</w:t>
      </w:r>
    </w:p>
    <w:p w14:paraId="73343F8A">
      <w:pPr>
        <w:widowControl w:val="0"/>
        <w:spacing w:after="0" w:line="240" w:lineRule="auto"/>
        <w:jc w:val="center"/>
        <w:rPr>
          <w:rFonts w:cs="Times New Roman"/>
          <w:szCs w:val="28"/>
        </w:rPr>
      </w:pPr>
      <w:r>
        <w:rPr>
          <w:rFonts w:cs="Times New Roman"/>
          <w:bCs/>
          <w:szCs w:val="28"/>
          <w:shd w:val="clear" w:color="auto" w:fill="FFFFFF"/>
          <w:lang w:val="en-US" w:eastAsia="vi-VN"/>
        </w:rPr>
        <w:t xml:space="preserve">                                                                                                                  </w:t>
      </w:r>
      <w:r>
        <w:rPr>
          <w:rFonts w:cs="Times New Roman"/>
          <w:bCs/>
          <w:szCs w:val="28"/>
          <w:shd w:val="clear" w:color="auto" w:fill="FFFFFF"/>
          <w:lang w:eastAsia="vi-VN"/>
        </w:rPr>
        <w:t>(Ký tên, đóng dấu (nếu có))</w:t>
      </w:r>
      <w:bookmarkEnd w:id="0"/>
      <w:bookmarkEnd w:id="1"/>
    </w:p>
    <w:sectPr>
      <w:pgSz w:w="16838" w:h="11906" w:orient="landscape"/>
      <w:pgMar w:top="1134" w:right="1134" w:bottom="851" w:left="1701" w:header="709" w:footer="709" w:gutter="0"/>
      <w:cols w:space="0" w:num="1"/>
      <w:docGrid w:linePitch="38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nTime">
    <w:panose1 w:val="020B7200000000000000"/>
    <w:charset w:val="00"/>
    <w:family w:val="swiss"/>
    <w:pitch w:val="default"/>
    <w:sig w:usb0="00000000" w:usb1="00000000" w:usb2="00000000" w:usb3="00000000" w:csb0="00000000" w:csb1="00000000"/>
  </w:font>
  <w:font w:name="MS Gothic">
    <w:panose1 w:val="020B0609070205080204"/>
    <w:charset w:val="80"/>
    <w:family w:val="auto"/>
    <w:pitch w:val="default"/>
    <w:sig w:usb0="E00002FF" w:usb1="6AC7FDFB" w:usb2="08000012" w:usb3="00000000" w:csb0="4002009F" w:csb1="DFD70000"/>
  </w:font>
  <w:font w:name="Calibri">
    <w:panose1 w:val="020F0502020204030204"/>
    <w:charset w:val="00"/>
    <w:family w:val="auto"/>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Segoe UI">
    <w:panose1 w:val="020B0502040204020203"/>
    <w:charset w:val="00"/>
    <w:family w:val="swiss"/>
    <w:pitch w:val="default"/>
    <w:sig w:usb0="E4002EFF" w:usb1="C000E47F" w:usb2="00000009" w:usb3="00000000" w:csb0="200001FF" w:csb1="00000000"/>
  </w:font>
  <w:font w:name="Tahoma">
    <w:panose1 w:val="020B0604030504040204"/>
    <w:charset w:val="00"/>
    <w:family w:val="auto"/>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hideSpelling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55C"/>
    <w:rsid w:val="00010FD9"/>
    <w:rsid w:val="00013E97"/>
    <w:rsid w:val="00021B1E"/>
    <w:rsid w:val="000255EB"/>
    <w:rsid w:val="0003345C"/>
    <w:rsid w:val="000361F2"/>
    <w:rsid w:val="00042048"/>
    <w:rsid w:val="00050F4C"/>
    <w:rsid w:val="00053CDF"/>
    <w:rsid w:val="00063FDA"/>
    <w:rsid w:val="00065343"/>
    <w:rsid w:val="00066411"/>
    <w:rsid w:val="00070B40"/>
    <w:rsid w:val="00074BBA"/>
    <w:rsid w:val="000778EE"/>
    <w:rsid w:val="00081423"/>
    <w:rsid w:val="000921EF"/>
    <w:rsid w:val="00096AD3"/>
    <w:rsid w:val="000A032B"/>
    <w:rsid w:val="000A4502"/>
    <w:rsid w:val="000A4B03"/>
    <w:rsid w:val="000C5EA6"/>
    <w:rsid w:val="000C7570"/>
    <w:rsid w:val="000C77FA"/>
    <w:rsid w:val="000D02C4"/>
    <w:rsid w:val="000D1E56"/>
    <w:rsid w:val="000D5075"/>
    <w:rsid w:val="000D7E8C"/>
    <w:rsid w:val="000E0A85"/>
    <w:rsid w:val="0010202A"/>
    <w:rsid w:val="0011423B"/>
    <w:rsid w:val="001157EE"/>
    <w:rsid w:val="0011799A"/>
    <w:rsid w:val="001223B1"/>
    <w:rsid w:val="00126193"/>
    <w:rsid w:val="001353AC"/>
    <w:rsid w:val="00137CBB"/>
    <w:rsid w:val="00142F5C"/>
    <w:rsid w:val="001516DF"/>
    <w:rsid w:val="001522DB"/>
    <w:rsid w:val="001524B9"/>
    <w:rsid w:val="001668C4"/>
    <w:rsid w:val="00170540"/>
    <w:rsid w:val="001717F3"/>
    <w:rsid w:val="0017274B"/>
    <w:rsid w:val="00181E54"/>
    <w:rsid w:val="00181F36"/>
    <w:rsid w:val="001852EE"/>
    <w:rsid w:val="00185426"/>
    <w:rsid w:val="00187FFC"/>
    <w:rsid w:val="001A682C"/>
    <w:rsid w:val="001A7416"/>
    <w:rsid w:val="001C0005"/>
    <w:rsid w:val="001C403F"/>
    <w:rsid w:val="001D260B"/>
    <w:rsid w:val="001D2F6A"/>
    <w:rsid w:val="001D3979"/>
    <w:rsid w:val="001D593D"/>
    <w:rsid w:val="001E0B07"/>
    <w:rsid w:val="001F0B40"/>
    <w:rsid w:val="00200098"/>
    <w:rsid w:val="002041E5"/>
    <w:rsid w:val="0020476E"/>
    <w:rsid w:val="0021228D"/>
    <w:rsid w:val="0021422E"/>
    <w:rsid w:val="002162E8"/>
    <w:rsid w:val="00220373"/>
    <w:rsid w:val="00241ABC"/>
    <w:rsid w:val="00251914"/>
    <w:rsid w:val="002715DC"/>
    <w:rsid w:val="002A348B"/>
    <w:rsid w:val="002A476C"/>
    <w:rsid w:val="002A4BCE"/>
    <w:rsid w:val="002A6C2C"/>
    <w:rsid w:val="002B2EF9"/>
    <w:rsid w:val="002B6272"/>
    <w:rsid w:val="002C0CD2"/>
    <w:rsid w:val="002C4022"/>
    <w:rsid w:val="002D2AE3"/>
    <w:rsid w:val="002E7E41"/>
    <w:rsid w:val="002F0600"/>
    <w:rsid w:val="002F0ECB"/>
    <w:rsid w:val="00312B82"/>
    <w:rsid w:val="00313611"/>
    <w:rsid w:val="00313C78"/>
    <w:rsid w:val="0031605A"/>
    <w:rsid w:val="00316AFB"/>
    <w:rsid w:val="00317EE9"/>
    <w:rsid w:val="003209BD"/>
    <w:rsid w:val="003245A7"/>
    <w:rsid w:val="00325CE1"/>
    <w:rsid w:val="0033018D"/>
    <w:rsid w:val="00333A4E"/>
    <w:rsid w:val="00337FE8"/>
    <w:rsid w:val="003628F3"/>
    <w:rsid w:val="003670B4"/>
    <w:rsid w:val="00372D5C"/>
    <w:rsid w:val="00372E19"/>
    <w:rsid w:val="00375B57"/>
    <w:rsid w:val="00382E32"/>
    <w:rsid w:val="00390E12"/>
    <w:rsid w:val="003A07E9"/>
    <w:rsid w:val="003B31F7"/>
    <w:rsid w:val="003B59EF"/>
    <w:rsid w:val="003C2724"/>
    <w:rsid w:val="003C463E"/>
    <w:rsid w:val="003C51FE"/>
    <w:rsid w:val="003C7871"/>
    <w:rsid w:val="003D1247"/>
    <w:rsid w:val="003E15CC"/>
    <w:rsid w:val="003E4BD5"/>
    <w:rsid w:val="003E5BAA"/>
    <w:rsid w:val="003E7E63"/>
    <w:rsid w:val="003F60A4"/>
    <w:rsid w:val="004065DD"/>
    <w:rsid w:val="00407D48"/>
    <w:rsid w:val="004130B7"/>
    <w:rsid w:val="004231CB"/>
    <w:rsid w:val="00432279"/>
    <w:rsid w:val="00432951"/>
    <w:rsid w:val="00433E0E"/>
    <w:rsid w:val="00445A97"/>
    <w:rsid w:val="00465DF2"/>
    <w:rsid w:val="0048133A"/>
    <w:rsid w:val="00482FC9"/>
    <w:rsid w:val="004925D5"/>
    <w:rsid w:val="004954F1"/>
    <w:rsid w:val="00497C4D"/>
    <w:rsid w:val="004A6E37"/>
    <w:rsid w:val="004B1143"/>
    <w:rsid w:val="004B2D08"/>
    <w:rsid w:val="004B4503"/>
    <w:rsid w:val="004B72C2"/>
    <w:rsid w:val="004B7A86"/>
    <w:rsid w:val="004C3148"/>
    <w:rsid w:val="004C6432"/>
    <w:rsid w:val="004E0328"/>
    <w:rsid w:val="004E31DA"/>
    <w:rsid w:val="004E6323"/>
    <w:rsid w:val="004F1C2A"/>
    <w:rsid w:val="00562C1D"/>
    <w:rsid w:val="0056305E"/>
    <w:rsid w:val="00565314"/>
    <w:rsid w:val="00573DCF"/>
    <w:rsid w:val="00574EEA"/>
    <w:rsid w:val="005765B8"/>
    <w:rsid w:val="00590309"/>
    <w:rsid w:val="0059116E"/>
    <w:rsid w:val="00592DDD"/>
    <w:rsid w:val="00595634"/>
    <w:rsid w:val="00596201"/>
    <w:rsid w:val="005A4580"/>
    <w:rsid w:val="005A5335"/>
    <w:rsid w:val="005B40DD"/>
    <w:rsid w:val="005C3964"/>
    <w:rsid w:val="005C4AFD"/>
    <w:rsid w:val="005C4DBE"/>
    <w:rsid w:val="005D2959"/>
    <w:rsid w:val="005D44C3"/>
    <w:rsid w:val="005E29C0"/>
    <w:rsid w:val="005E44F8"/>
    <w:rsid w:val="005E54B9"/>
    <w:rsid w:val="005E62F1"/>
    <w:rsid w:val="00600FCA"/>
    <w:rsid w:val="0060340D"/>
    <w:rsid w:val="0060476B"/>
    <w:rsid w:val="00607F3D"/>
    <w:rsid w:val="0061713C"/>
    <w:rsid w:val="00621BC2"/>
    <w:rsid w:val="00624CCD"/>
    <w:rsid w:val="0062720A"/>
    <w:rsid w:val="00641A8F"/>
    <w:rsid w:val="00646488"/>
    <w:rsid w:val="00653D00"/>
    <w:rsid w:val="0065417F"/>
    <w:rsid w:val="006601F5"/>
    <w:rsid w:val="00665AA8"/>
    <w:rsid w:val="00667561"/>
    <w:rsid w:val="00673C93"/>
    <w:rsid w:val="006750E6"/>
    <w:rsid w:val="0067623D"/>
    <w:rsid w:val="0067770F"/>
    <w:rsid w:val="00677943"/>
    <w:rsid w:val="0068176A"/>
    <w:rsid w:val="006833F3"/>
    <w:rsid w:val="00686B93"/>
    <w:rsid w:val="00687EDF"/>
    <w:rsid w:val="006A3F6E"/>
    <w:rsid w:val="006A74F5"/>
    <w:rsid w:val="006A76CA"/>
    <w:rsid w:val="006B6B46"/>
    <w:rsid w:val="006B6D1E"/>
    <w:rsid w:val="006C35F2"/>
    <w:rsid w:val="006C5866"/>
    <w:rsid w:val="006C61D1"/>
    <w:rsid w:val="006D1788"/>
    <w:rsid w:val="006D5535"/>
    <w:rsid w:val="006D73F4"/>
    <w:rsid w:val="006E0232"/>
    <w:rsid w:val="006E4C8C"/>
    <w:rsid w:val="006E73F1"/>
    <w:rsid w:val="006F585E"/>
    <w:rsid w:val="006F5BC5"/>
    <w:rsid w:val="006F7287"/>
    <w:rsid w:val="00713AFF"/>
    <w:rsid w:val="007240C4"/>
    <w:rsid w:val="007316DD"/>
    <w:rsid w:val="007443FD"/>
    <w:rsid w:val="00744884"/>
    <w:rsid w:val="00756CAF"/>
    <w:rsid w:val="0076236F"/>
    <w:rsid w:val="00762A9E"/>
    <w:rsid w:val="00777365"/>
    <w:rsid w:val="0078060A"/>
    <w:rsid w:val="00780B07"/>
    <w:rsid w:val="00781EA0"/>
    <w:rsid w:val="00782E0F"/>
    <w:rsid w:val="0078337C"/>
    <w:rsid w:val="007B155F"/>
    <w:rsid w:val="007B3041"/>
    <w:rsid w:val="007B790F"/>
    <w:rsid w:val="007C4D54"/>
    <w:rsid w:val="007D43EE"/>
    <w:rsid w:val="007D505F"/>
    <w:rsid w:val="007E6CB5"/>
    <w:rsid w:val="008042D9"/>
    <w:rsid w:val="00806509"/>
    <w:rsid w:val="008065C3"/>
    <w:rsid w:val="00810AD3"/>
    <w:rsid w:val="0081206F"/>
    <w:rsid w:val="0082286C"/>
    <w:rsid w:val="00822E04"/>
    <w:rsid w:val="0083068D"/>
    <w:rsid w:val="0084700F"/>
    <w:rsid w:val="00847D97"/>
    <w:rsid w:val="00855084"/>
    <w:rsid w:val="00867198"/>
    <w:rsid w:val="008813EF"/>
    <w:rsid w:val="008825DF"/>
    <w:rsid w:val="00886A07"/>
    <w:rsid w:val="00890306"/>
    <w:rsid w:val="008B19A7"/>
    <w:rsid w:val="008B2B38"/>
    <w:rsid w:val="008B36C0"/>
    <w:rsid w:val="008B50E3"/>
    <w:rsid w:val="008B5BFE"/>
    <w:rsid w:val="008B76FD"/>
    <w:rsid w:val="008C483D"/>
    <w:rsid w:val="008D0549"/>
    <w:rsid w:val="008D6C66"/>
    <w:rsid w:val="008E2CC9"/>
    <w:rsid w:val="008E4DAF"/>
    <w:rsid w:val="008E7C70"/>
    <w:rsid w:val="008F05A5"/>
    <w:rsid w:val="008F1C2E"/>
    <w:rsid w:val="00904530"/>
    <w:rsid w:val="00914D1E"/>
    <w:rsid w:val="00916A02"/>
    <w:rsid w:val="009261F2"/>
    <w:rsid w:val="00937D9D"/>
    <w:rsid w:val="009460F8"/>
    <w:rsid w:val="00954B64"/>
    <w:rsid w:val="00957982"/>
    <w:rsid w:val="009615E9"/>
    <w:rsid w:val="009635E8"/>
    <w:rsid w:val="009800EA"/>
    <w:rsid w:val="00981E17"/>
    <w:rsid w:val="00982ABE"/>
    <w:rsid w:val="009879DF"/>
    <w:rsid w:val="009927F3"/>
    <w:rsid w:val="009967E7"/>
    <w:rsid w:val="009B1E5C"/>
    <w:rsid w:val="009B39EB"/>
    <w:rsid w:val="009B72B1"/>
    <w:rsid w:val="009E7641"/>
    <w:rsid w:val="009F442F"/>
    <w:rsid w:val="009F4DC8"/>
    <w:rsid w:val="00A037E5"/>
    <w:rsid w:val="00A05B8E"/>
    <w:rsid w:val="00A10FCA"/>
    <w:rsid w:val="00A13709"/>
    <w:rsid w:val="00A16507"/>
    <w:rsid w:val="00A31235"/>
    <w:rsid w:val="00A456DE"/>
    <w:rsid w:val="00A45AFD"/>
    <w:rsid w:val="00A576D1"/>
    <w:rsid w:val="00A6778F"/>
    <w:rsid w:val="00AA3E44"/>
    <w:rsid w:val="00AA6333"/>
    <w:rsid w:val="00AA7EE7"/>
    <w:rsid w:val="00AB1631"/>
    <w:rsid w:val="00AC28A8"/>
    <w:rsid w:val="00AC34B7"/>
    <w:rsid w:val="00AC43D0"/>
    <w:rsid w:val="00AC5BE3"/>
    <w:rsid w:val="00AD10E7"/>
    <w:rsid w:val="00AD252B"/>
    <w:rsid w:val="00AD3FAA"/>
    <w:rsid w:val="00AD5391"/>
    <w:rsid w:val="00AE6B08"/>
    <w:rsid w:val="00AE6DDE"/>
    <w:rsid w:val="00AE73E3"/>
    <w:rsid w:val="00AE7907"/>
    <w:rsid w:val="00AF3525"/>
    <w:rsid w:val="00AF6E82"/>
    <w:rsid w:val="00AF7B18"/>
    <w:rsid w:val="00B00A2D"/>
    <w:rsid w:val="00B01261"/>
    <w:rsid w:val="00B0158A"/>
    <w:rsid w:val="00B046DD"/>
    <w:rsid w:val="00B06933"/>
    <w:rsid w:val="00B11F75"/>
    <w:rsid w:val="00B12796"/>
    <w:rsid w:val="00B23E46"/>
    <w:rsid w:val="00B34723"/>
    <w:rsid w:val="00B34FBB"/>
    <w:rsid w:val="00B358F4"/>
    <w:rsid w:val="00B62A4F"/>
    <w:rsid w:val="00B76F20"/>
    <w:rsid w:val="00B8266B"/>
    <w:rsid w:val="00B8532C"/>
    <w:rsid w:val="00B85846"/>
    <w:rsid w:val="00BA0901"/>
    <w:rsid w:val="00BA51BA"/>
    <w:rsid w:val="00BB4D4E"/>
    <w:rsid w:val="00BB7810"/>
    <w:rsid w:val="00BC0810"/>
    <w:rsid w:val="00BC5F79"/>
    <w:rsid w:val="00BD0C92"/>
    <w:rsid w:val="00BE49D4"/>
    <w:rsid w:val="00BE5E62"/>
    <w:rsid w:val="00BF0495"/>
    <w:rsid w:val="00BF2EF0"/>
    <w:rsid w:val="00BF32C7"/>
    <w:rsid w:val="00C12893"/>
    <w:rsid w:val="00C134BA"/>
    <w:rsid w:val="00C21514"/>
    <w:rsid w:val="00C24191"/>
    <w:rsid w:val="00C251F3"/>
    <w:rsid w:val="00C36211"/>
    <w:rsid w:val="00C37DE4"/>
    <w:rsid w:val="00C40392"/>
    <w:rsid w:val="00C41D6F"/>
    <w:rsid w:val="00C47B8F"/>
    <w:rsid w:val="00C551E4"/>
    <w:rsid w:val="00C61D63"/>
    <w:rsid w:val="00C648E8"/>
    <w:rsid w:val="00C66BC7"/>
    <w:rsid w:val="00C83D09"/>
    <w:rsid w:val="00C86CA2"/>
    <w:rsid w:val="00C928EB"/>
    <w:rsid w:val="00C9422C"/>
    <w:rsid w:val="00C947D4"/>
    <w:rsid w:val="00CA68C2"/>
    <w:rsid w:val="00CB0DF5"/>
    <w:rsid w:val="00CB2C86"/>
    <w:rsid w:val="00CB6AA3"/>
    <w:rsid w:val="00CD6ABC"/>
    <w:rsid w:val="00CF4545"/>
    <w:rsid w:val="00CF6651"/>
    <w:rsid w:val="00D06CE4"/>
    <w:rsid w:val="00D07743"/>
    <w:rsid w:val="00D205C7"/>
    <w:rsid w:val="00D229A0"/>
    <w:rsid w:val="00D23BCD"/>
    <w:rsid w:val="00D271D5"/>
    <w:rsid w:val="00D34790"/>
    <w:rsid w:val="00D42AA9"/>
    <w:rsid w:val="00D43B56"/>
    <w:rsid w:val="00D43CFF"/>
    <w:rsid w:val="00D55B0E"/>
    <w:rsid w:val="00D55CC7"/>
    <w:rsid w:val="00D61F8C"/>
    <w:rsid w:val="00D6376F"/>
    <w:rsid w:val="00D65180"/>
    <w:rsid w:val="00D67AC3"/>
    <w:rsid w:val="00D73FFE"/>
    <w:rsid w:val="00D8648D"/>
    <w:rsid w:val="00D9091C"/>
    <w:rsid w:val="00D90DA6"/>
    <w:rsid w:val="00D91929"/>
    <w:rsid w:val="00D92007"/>
    <w:rsid w:val="00D921FB"/>
    <w:rsid w:val="00D9505F"/>
    <w:rsid w:val="00D97569"/>
    <w:rsid w:val="00DA2E7A"/>
    <w:rsid w:val="00DA7303"/>
    <w:rsid w:val="00DB24F3"/>
    <w:rsid w:val="00DB505D"/>
    <w:rsid w:val="00DB54A8"/>
    <w:rsid w:val="00DC081E"/>
    <w:rsid w:val="00DC2963"/>
    <w:rsid w:val="00DC4D4E"/>
    <w:rsid w:val="00DD12EF"/>
    <w:rsid w:val="00DE472C"/>
    <w:rsid w:val="00DF1C11"/>
    <w:rsid w:val="00DF61F4"/>
    <w:rsid w:val="00DF6942"/>
    <w:rsid w:val="00E0145B"/>
    <w:rsid w:val="00E06CAD"/>
    <w:rsid w:val="00E127A2"/>
    <w:rsid w:val="00E13560"/>
    <w:rsid w:val="00E14BE1"/>
    <w:rsid w:val="00E153C8"/>
    <w:rsid w:val="00E26676"/>
    <w:rsid w:val="00E3355C"/>
    <w:rsid w:val="00E429C8"/>
    <w:rsid w:val="00E4350E"/>
    <w:rsid w:val="00E44C27"/>
    <w:rsid w:val="00E45973"/>
    <w:rsid w:val="00E5621E"/>
    <w:rsid w:val="00E56ACE"/>
    <w:rsid w:val="00E57BC5"/>
    <w:rsid w:val="00E71843"/>
    <w:rsid w:val="00E719D8"/>
    <w:rsid w:val="00E71D38"/>
    <w:rsid w:val="00E832FD"/>
    <w:rsid w:val="00E947ED"/>
    <w:rsid w:val="00EA39C2"/>
    <w:rsid w:val="00EA48A7"/>
    <w:rsid w:val="00EB0E41"/>
    <w:rsid w:val="00EB171B"/>
    <w:rsid w:val="00EB685B"/>
    <w:rsid w:val="00EB743F"/>
    <w:rsid w:val="00ED1FE6"/>
    <w:rsid w:val="00EE3201"/>
    <w:rsid w:val="00EE5126"/>
    <w:rsid w:val="00F02D80"/>
    <w:rsid w:val="00F0541C"/>
    <w:rsid w:val="00F059EF"/>
    <w:rsid w:val="00F33483"/>
    <w:rsid w:val="00F418E8"/>
    <w:rsid w:val="00F4534D"/>
    <w:rsid w:val="00F50E1D"/>
    <w:rsid w:val="00F52EEC"/>
    <w:rsid w:val="00F543A5"/>
    <w:rsid w:val="00F61816"/>
    <w:rsid w:val="00F6441B"/>
    <w:rsid w:val="00F676E8"/>
    <w:rsid w:val="00F70984"/>
    <w:rsid w:val="00F73FE0"/>
    <w:rsid w:val="00F825DB"/>
    <w:rsid w:val="00F92C19"/>
    <w:rsid w:val="00F96CA6"/>
    <w:rsid w:val="00F96FD4"/>
    <w:rsid w:val="00FA0739"/>
    <w:rsid w:val="00FB27D1"/>
    <w:rsid w:val="00FC13A0"/>
    <w:rsid w:val="00FC235D"/>
    <w:rsid w:val="00FD4113"/>
    <w:rsid w:val="00FE1782"/>
    <w:rsid w:val="00FF4DA7"/>
    <w:rsid w:val="03370B50"/>
    <w:rsid w:val="05BF77B2"/>
    <w:rsid w:val="0DE7280E"/>
    <w:rsid w:val="1C747609"/>
    <w:rsid w:val="2B325569"/>
    <w:rsid w:val="34C07461"/>
    <w:rsid w:val="3A1E4258"/>
    <w:rsid w:val="3D5C5B3B"/>
    <w:rsid w:val="42D20F8E"/>
    <w:rsid w:val="45340EE7"/>
    <w:rsid w:val="458950D3"/>
    <w:rsid w:val="462E524B"/>
    <w:rsid w:val="476E6000"/>
    <w:rsid w:val="48012F0A"/>
    <w:rsid w:val="4D2A765B"/>
    <w:rsid w:val="4E6C24A4"/>
    <w:rsid w:val="4F875BF3"/>
    <w:rsid w:val="579052B4"/>
    <w:rsid w:val="57E13971"/>
    <w:rsid w:val="5DB157C4"/>
    <w:rsid w:val="63C9144F"/>
    <w:rsid w:val="64E217CD"/>
    <w:rsid w:val="6F4962C5"/>
    <w:rsid w:val="703F2B19"/>
    <w:rsid w:val="766338B2"/>
    <w:rsid w:val="79600377"/>
    <w:rsid w:val="7AC93DA9"/>
    <w:rsid w:val="7C297394"/>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qFormat="1"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imes New Roman" w:hAnsi="Times New Roman" w:eastAsiaTheme="minorHAnsi" w:cstheme="minorBidi"/>
      <w:sz w:val="28"/>
      <w:szCs w:val="22"/>
      <w:lang w:val="vi-VN" w:eastAsia="en-US" w:bidi="ar-SA"/>
    </w:rPr>
  </w:style>
  <w:style w:type="paragraph" w:styleId="2">
    <w:name w:val="heading 1"/>
    <w:basedOn w:val="1"/>
    <w:next w:val="1"/>
    <w:link w:val="20"/>
    <w:qFormat/>
    <w:uiPriority w:val="0"/>
    <w:pPr>
      <w:keepNext/>
      <w:spacing w:before="240" w:after="60" w:line="240" w:lineRule="auto"/>
      <w:outlineLvl w:val="0"/>
    </w:pPr>
    <w:rPr>
      <w:rFonts w:ascii="Calibri Light" w:hAnsi="Calibri Light" w:eastAsia="Times New Roman" w:cs="Times New Roman"/>
      <w:b/>
      <w:bCs/>
      <w:kern w:val="32"/>
      <w:sz w:val="32"/>
      <w:szCs w:val="32"/>
      <w:lang w:val="en-US"/>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5">
    <w:name w:val="Balloon Text"/>
    <w:basedOn w:val="1"/>
    <w:link w:val="14"/>
    <w:semiHidden/>
    <w:unhideWhenUsed/>
    <w:qFormat/>
    <w:uiPriority w:val="99"/>
    <w:pPr>
      <w:spacing w:after="0" w:line="240" w:lineRule="auto"/>
    </w:pPr>
    <w:rPr>
      <w:rFonts w:ascii="Segoe UI" w:hAnsi="Segoe UI" w:cs="Segoe UI"/>
      <w:sz w:val="18"/>
      <w:szCs w:val="18"/>
    </w:rPr>
  </w:style>
  <w:style w:type="character" w:styleId="6">
    <w:name w:val="Emphasis"/>
    <w:qFormat/>
    <w:uiPriority w:val="20"/>
    <w:rPr>
      <w:i/>
      <w:iCs/>
    </w:rPr>
  </w:style>
  <w:style w:type="paragraph" w:styleId="7">
    <w:name w:val="footer"/>
    <w:basedOn w:val="1"/>
    <w:link w:val="13"/>
    <w:unhideWhenUsed/>
    <w:qFormat/>
    <w:uiPriority w:val="99"/>
    <w:pPr>
      <w:tabs>
        <w:tab w:val="center" w:pos="4513"/>
        <w:tab w:val="right" w:pos="9026"/>
      </w:tabs>
      <w:spacing w:after="0" w:line="240" w:lineRule="auto"/>
    </w:pPr>
  </w:style>
  <w:style w:type="paragraph" w:styleId="8">
    <w:name w:val="header"/>
    <w:basedOn w:val="1"/>
    <w:link w:val="21"/>
    <w:unhideWhenUsed/>
    <w:uiPriority w:val="99"/>
    <w:pPr>
      <w:tabs>
        <w:tab w:val="center" w:pos="4680"/>
        <w:tab w:val="right" w:pos="9360"/>
      </w:tabs>
      <w:spacing w:after="0" w:line="240" w:lineRule="auto"/>
    </w:pPr>
  </w:style>
  <w:style w:type="character" w:styleId="9">
    <w:name w:val="Hyperlink"/>
    <w:basedOn w:val="3"/>
    <w:unhideWhenUsed/>
    <w:qFormat/>
    <w:uiPriority w:val="99"/>
    <w:rPr>
      <w:color w:val="0563C1" w:themeColor="hyperlink"/>
      <w:u w:val="single"/>
      <w14:textFill>
        <w14:solidFill>
          <w14:schemeClr w14:val="hlink"/>
        </w14:solidFill>
      </w14:textFill>
    </w:rPr>
  </w:style>
  <w:style w:type="paragraph" w:styleId="10">
    <w:name w:val="Normal (Web)"/>
    <w:basedOn w:val="1"/>
    <w:unhideWhenUsed/>
    <w:qFormat/>
    <w:uiPriority w:val="99"/>
    <w:pPr>
      <w:spacing w:before="100" w:beforeAutospacing="1" w:after="100" w:afterAutospacing="1" w:line="240" w:lineRule="auto"/>
    </w:pPr>
    <w:rPr>
      <w:rFonts w:eastAsia="Times New Roman" w:cs="Times New Roman"/>
      <w:sz w:val="24"/>
      <w:szCs w:val="24"/>
    </w:rPr>
  </w:style>
  <w:style w:type="table" w:styleId="11">
    <w:name w:val="Table Grid"/>
    <w:basedOn w:val="4"/>
    <w:qFormat/>
    <w:uiPriority w:val="59"/>
    <w:rPr>
      <w:rFonts w:ascii="Times New Roman" w:hAnsi="Times New Roman"/>
      <w:sz w:val="28"/>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List Paragraph"/>
    <w:basedOn w:val="1"/>
    <w:link w:val="18"/>
    <w:qFormat/>
    <w:uiPriority w:val="34"/>
    <w:pPr>
      <w:spacing w:after="0" w:line="312" w:lineRule="auto"/>
      <w:ind w:left="720"/>
      <w:contextualSpacing/>
    </w:pPr>
    <w:rPr>
      <w:rFonts w:ascii=".VnTime" w:hAnsi=".VnTime" w:eastAsia="Times New Roman" w:cs="Times New Roman"/>
      <w:sz w:val="24"/>
      <w:szCs w:val="24"/>
      <w:lang w:val="en-US"/>
    </w:rPr>
  </w:style>
  <w:style w:type="character" w:customStyle="1" w:styleId="13">
    <w:name w:val="Footer Char"/>
    <w:basedOn w:val="3"/>
    <w:link w:val="7"/>
    <w:qFormat/>
    <w:uiPriority w:val="99"/>
    <w:rPr>
      <w:rFonts w:ascii="Times New Roman" w:hAnsi="Times New Roman"/>
      <w:sz w:val="28"/>
      <w:lang w:val="vi-VN"/>
    </w:rPr>
  </w:style>
  <w:style w:type="character" w:customStyle="1" w:styleId="14">
    <w:name w:val="Balloon Text Char"/>
    <w:basedOn w:val="3"/>
    <w:link w:val="5"/>
    <w:semiHidden/>
    <w:qFormat/>
    <w:uiPriority w:val="99"/>
    <w:rPr>
      <w:rFonts w:ascii="Segoe UI" w:hAnsi="Segoe UI" w:cs="Segoe UI"/>
      <w:sz w:val="18"/>
      <w:szCs w:val="18"/>
      <w:lang w:val="vi-VN"/>
    </w:rPr>
  </w:style>
  <w:style w:type="character" w:customStyle="1" w:styleId="15">
    <w:name w:val="font81"/>
    <w:qFormat/>
    <w:uiPriority w:val="0"/>
    <w:rPr>
      <w:rFonts w:hint="default" w:ascii="Times New Roman" w:hAnsi="Times New Roman" w:cs="Times New Roman"/>
      <w:b/>
      <w:bCs/>
      <w:color w:val="000000"/>
      <w:sz w:val="18"/>
      <w:szCs w:val="18"/>
      <w:u w:val="none"/>
    </w:rPr>
  </w:style>
  <w:style w:type="character" w:customStyle="1" w:styleId="16">
    <w:name w:val="font91"/>
    <w:qFormat/>
    <w:uiPriority w:val="0"/>
    <w:rPr>
      <w:rFonts w:hint="default" w:ascii="Times New Roman" w:hAnsi="Times New Roman" w:cs="Times New Roman"/>
      <w:b/>
      <w:bCs/>
      <w:color w:val="000000"/>
      <w:sz w:val="18"/>
      <w:szCs w:val="18"/>
      <w:u w:val="none"/>
    </w:rPr>
  </w:style>
  <w:style w:type="character" w:customStyle="1" w:styleId="17">
    <w:name w:val="fontarticledesc"/>
    <w:basedOn w:val="3"/>
    <w:qFormat/>
    <w:uiPriority w:val="0"/>
  </w:style>
  <w:style w:type="character" w:customStyle="1" w:styleId="18">
    <w:name w:val="List Paragraph Char"/>
    <w:link w:val="12"/>
    <w:qFormat/>
    <w:locked/>
    <w:uiPriority w:val="34"/>
    <w:rPr>
      <w:rFonts w:ascii=".VnTime" w:hAnsi=".VnTime" w:eastAsia="Times New Roman" w:cs="Times New Roman"/>
      <w:sz w:val="24"/>
      <w:szCs w:val="24"/>
    </w:rPr>
  </w:style>
  <w:style w:type="paragraph" w:customStyle="1" w:styleId="19">
    <w:name w:val="Default"/>
    <w:uiPriority w:val="0"/>
    <w:pPr>
      <w:autoSpaceDE w:val="0"/>
      <w:autoSpaceDN w:val="0"/>
      <w:adjustRightInd w:val="0"/>
    </w:pPr>
    <w:rPr>
      <w:rFonts w:ascii="Times New Roman" w:hAnsi="Times New Roman" w:cs="Times New Roman" w:eastAsiaTheme="minorHAnsi"/>
      <w:color w:val="000000"/>
      <w:sz w:val="24"/>
      <w:szCs w:val="24"/>
      <w:lang w:val="en-US" w:eastAsia="en-US" w:bidi="ar-SA"/>
    </w:rPr>
  </w:style>
  <w:style w:type="character" w:customStyle="1" w:styleId="20">
    <w:name w:val="Heading 1 Char"/>
    <w:basedOn w:val="3"/>
    <w:link w:val="2"/>
    <w:uiPriority w:val="0"/>
    <w:rPr>
      <w:rFonts w:ascii="Calibri Light" w:hAnsi="Calibri Light" w:eastAsia="Times New Roman" w:cs="Times New Roman"/>
      <w:b/>
      <w:bCs/>
      <w:kern w:val="32"/>
      <w:sz w:val="32"/>
      <w:szCs w:val="32"/>
    </w:rPr>
  </w:style>
  <w:style w:type="character" w:customStyle="1" w:styleId="21">
    <w:name w:val="Header Char"/>
    <w:basedOn w:val="3"/>
    <w:link w:val="8"/>
    <w:uiPriority w:val="99"/>
    <w:rPr>
      <w:rFonts w:ascii="Times New Roman" w:hAnsi="Times New Roman"/>
      <w:sz w:val="28"/>
      <w:szCs w:val="22"/>
      <w:lang w:val="vi-VN"/>
    </w:rPr>
  </w:style>
  <w:style w:type="character" w:customStyle="1" w:styleId="22">
    <w:name w:val="fontstyle01"/>
    <w:qFormat/>
    <w:uiPriority w:val="0"/>
    <w:rPr>
      <w:rFonts w:hint="default" w:ascii="Times New Roman" w:hAnsi="Times New Roman" w:cs="Times New Roman"/>
      <w:color w:val="000000"/>
      <w:sz w:val="26"/>
      <w:szCs w:val="26"/>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D81BDF-8BA4-404A-9A34-666EBF2042DC}">
  <ds:schemaRefs/>
</ds:datastoreItem>
</file>

<file path=docProps/app.xml><?xml version="1.0" encoding="utf-8"?>
<Properties xmlns="http://schemas.openxmlformats.org/officeDocument/2006/extended-properties" xmlns:vt="http://schemas.openxmlformats.org/officeDocument/2006/docPropsVTypes">
  <Template>Normal</Template>
  <Pages>15</Pages>
  <Words>4096</Words>
  <Characters>13610</Characters>
  <Lines>130</Lines>
  <Paragraphs>36</Paragraphs>
  <TotalTime>1402</TotalTime>
  <ScaleCrop>false</ScaleCrop>
  <LinksUpToDate>false</LinksUpToDate>
  <CharactersWithSpaces>17851</CharactersWithSpaces>
  <Application>WPS Office_12.1.0.28032_F1E327BC-269C-435d-A152-05C5408002CA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2025-06-09T03:23:00Z</dcterms:created>
  <dc:creator>NOI 3</dc:creator>
  <cp:lastModifiedBy>Truong Hoang Hiep</cp:lastModifiedBy>
  <cp:lastPrinted>2023-09-25T07:44:00Z</cp:lastPrinted>
  <dcterms:modified xsi:type="dcterms:W3CDTF">2026-08-14T00:36:40Z</dcterms:modified>
  <cp:revision>130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1033-12.1.0.28032</vt:lpwstr>
  </property>
  <property fmtid="{D5CDD505-2E9C-101B-9397-08002B2CF9AE}" pid="3" name="ICV">
    <vt:lpwstr>7BD21988425746FD9F5194B98D74CF34</vt:lpwstr>
  </property>
  <property fmtid="{D5CDD505-2E9C-101B-9397-08002B2CF9AE}" pid="4" name="KSOTemplateDocerSaveRecord">
    <vt:lpwstr>eyJoZGlkIjoiOTI5NzlhZmJlN2MyY2IzNDU5YmRiYWE1NjQyYjM1ZmYiLCJ1c2VySWQiOiIxMzkxODMwMzk4NjUyIn0=</vt:lpwstr>
  </property>
</Properties>
</file>